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43FF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A20EC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B7A0CF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6255E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F4C07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9F1294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8E33D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230D8E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50FFCFA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8C55349">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bookmarkStart w:id="90" w:name="_GoBack"/>
      <w:bookmarkEnd w:id="90"/>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4A5686E5">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B07F63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A83CA9B">
      <w:pPr>
        <w:pStyle w:val="50"/>
        <w:framePr w:w="9639" w:h="6976" w:hRule="exact" w:hSpace="0" w:vSpace="0" w:wrap="around" w:hAnchor="page" w:y="6408"/>
        <w:jc w:val="center"/>
        <w:rPr>
          <w:rFonts w:ascii="黑体" w:hAnsi="黑体" w:eastAsia="黑体"/>
          <w:b w:val="0"/>
          <w:bCs w:val="0"/>
          <w:w w:val="100"/>
        </w:rPr>
      </w:pPr>
    </w:p>
    <w:p w14:paraId="6E9E939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夏季香菇生产技术规程</w:t>
      </w:r>
      <w:r>
        <w:fldChar w:fldCharType="end"/>
      </w:r>
      <w:bookmarkEnd w:id="9"/>
    </w:p>
    <w:p w14:paraId="2B8CDE12">
      <w:pPr>
        <w:framePr w:w="9639" w:h="6974" w:hRule="exact" w:wrap="around" w:vAnchor="page" w:hAnchor="page" w:x="1419" w:y="6408" w:anchorLock="1"/>
        <w:ind w:left="-1418"/>
      </w:pPr>
    </w:p>
    <w:p w14:paraId="50E889A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1BEA2C58">
      <w:pPr>
        <w:framePr w:w="9639" w:h="6974" w:hRule="exact" w:wrap="around" w:vAnchor="page" w:hAnchor="page" w:x="1419" w:y="6408" w:anchorLock="1"/>
        <w:spacing w:line="760" w:lineRule="exact"/>
        <w:ind w:left="-1418"/>
      </w:pPr>
    </w:p>
    <w:p w14:paraId="77F0273C">
      <w:pPr>
        <w:pStyle w:val="125"/>
        <w:framePr w:w="9639" w:h="6974" w:hRule="exact" w:wrap="around" w:vAnchor="page" w:hAnchor="page" w:x="1419" w:y="6408" w:anchorLock="1"/>
        <w:textAlignment w:val="bottom"/>
        <w:rPr>
          <w:rFonts w:eastAsia="黑体"/>
          <w:szCs w:val="28"/>
        </w:rPr>
      </w:pPr>
    </w:p>
    <w:p w14:paraId="750D851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3A1D35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031D24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BC4AE7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5BE70D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25A5F6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15A43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6A13055">
      <w:pPr>
        <w:pStyle w:val="91"/>
        <w:spacing w:after="468"/>
      </w:pPr>
      <w:bookmarkStart w:id="21" w:name="BookMark1"/>
      <w:r>
        <w:rPr>
          <w:rFonts w:hint="eastAsia"/>
          <w:spacing w:val="320"/>
        </w:rPr>
        <w:t>目</w:t>
      </w:r>
      <w:r>
        <w:rPr>
          <w:rFonts w:hint="eastAsia"/>
        </w:rPr>
        <w:t>次</w:t>
      </w:r>
    </w:p>
    <w:p w14:paraId="6EA7EB9D">
      <w:pPr>
        <w:pStyle w:val="19"/>
        <w:tabs>
          <w:tab w:val="right" w:leader="dot" w:pos="9354"/>
        </w:tabs>
      </w:pPr>
      <w:r>
        <w:fldChar w:fldCharType="begin"/>
      </w:r>
      <w:r>
        <w:instrText xml:space="preserve"> TOC \o "1-1" \h </w:instrText>
      </w:r>
      <w:r>
        <w:fldChar w:fldCharType="separate"/>
      </w:r>
      <w:r>
        <w:fldChar w:fldCharType="begin"/>
      </w:r>
      <w:r>
        <w:instrText xml:space="preserve"> HYPERLINK \l _Toc27718 </w:instrText>
      </w:r>
      <w:r>
        <w:fldChar w:fldCharType="separate"/>
      </w:r>
      <w:r>
        <w:rPr>
          <w:spacing w:val="320"/>
        </w:rPr>
        <w:t>前</w:t>
      </w:r>
      <w:r>
        <w:t>言</w:t>
      </w:r>
      <w:r>
        <w:tab/>
      </w:r>
      <w:r>
        <w:fldChar w:fldCharType="begin"/>
      </w:r>
      <w:r>
        <w:instrText xml:space="preserve"> PAGEREF _Toc27718 \h </w:instrText>
      </w:r>
      <w:r>
        <w:fldChar w:fldCharType="separate"/>
      </w:r>
      <w:r>
        <w:t>II</w:t>
      </w:r>
      <w:r>
        <w:fldChar w:fldCharType="end"/>
      </w:r>
      <w:r>
        <w:fldChar w:fldCharType="end"/>
      </w:r>
    </w:p>
    <w:p w14:paraId="16DA7338">
      <w:pPr>
        <w:pStyle w:val="19"/>
        <w:tabs>
          <w:tab w:val="right" w:leader="dot" w:pos="9354"/>
        </w:tabs>
      </w:pPr>
      <w:r>
        <w:fldChar w:fldCharType="begin"/>
      </w:r>
      <w:r>
        <w:instrText xml:space="preserve"> HYPERLINK \l _Toc18523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_Toc18523 \h </w:instrText>
      </w:r>
      <w:r>
        <w:fldChar w:fldCharType="separate"/>
      </w:r>
      <w:r>
        <w:t>1</w:t>
      </w:r>
      <w:r>
        <w:fldChar w:fldCharType="end"/>
      </w:r>
      <w:r>
        <w:fldChar w:fldCharType="end"/>
      </w:r>
    </w:p>
    <w:p w14:paraId="25EC58FD">
      <w:pPr>
        <w:pStyle w:val="19"/>
        <w:tabs>
          <w:tab w:val="right" w:leader="dot" w:pos="9354"/>
        </w:tabs>
      </w:pPr>
      <w:r>
        <w:fldChar w:fldCharType="begin"/>
      </w:r>
      <w:r>
        <w:instrText xml:space="preserve"> HYPERLINK \l _Toc3979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_Toc3979 \h </w:instrText>
      </w:r>
      <w:r>
        <w:fldChar w:fldCharType="separate"/>
      </w:r>
      <w:r>
        <w:t>1</w:t>
      </w:r>
      <w:r>
        <w:fldChar w:fldCharType="end"/>
      </w:r>
      <w:r>
        <w:fldChar w:fldCharType="end"/>
      </w:r>
    </w:p>
    <w:p w14:paraId="737BB975">
      <w:pPr>
        <w:pStyle w:val="19"/>
        <w:tabs>
          <w:tab w:val="right" w:leader="dot" w:pos="9354"/>
        </w:tabs>
      </w:pPr>
      <w:r>
        <w:fldChar w:fldCharType="begin"/>
      </w:r>
      <w:r>
        <w:instrText xml:space="preserve"> HYPERLINK \l _Toc19812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_Toc19812 \h </w:instrText>
      </w:r>
      <w:r>
        <w:fldChar w:fldCharType="separate"/>
      </w:r>
      <w:r>
        <w:t>1</w:t>
      </w:r>
      <w:r>
        <w:fldChar w:fldCharType="end"/>
      </w:r>
      <w:r>
        <w:fldChar w:fldCharType="end"/>
      </w:r>
    </w:p>
    <w:p w14:paraId="7F9EC402">
      <w:pPr>
        <w:pStyle w:val="19"/>
        <w:tabs>
          <w:tab w:val="right" w:leader="dot" w:pos="9354"/>
        </w:tabs>
      </w:pPr>
      <w:r>
        <w:fldChar w:fldCharType="begin"/>
      </w:r>
      <w:r>
        <w:instrText xml:space="preserve"> HYPERLINK \l _Toc10388 </w:instrText>
      </w:r>
      <w:r>
        <w:fldChar w:fldCharType="separate"/>
      </w:r>
      <w:r>
        <w:rPr>
          <w:rFonts w:hint="eastAsia" w:ascii="黑体" w:eastAsia="黑体"/>
          <w:i w:val="0"/>
        </w:rPr>
        <w:t xml:space="preserve">4 </w:t>
      </w:r>
      <w:r>
        <w:rPr>
          <w:rFonts w:hint="eastAsia"/>
        </w:rPr>
        <w:t>场地选择</w:t>
      </w:r>
      <w:r>
        <w:tab/>
      </w:r>
      <w:r>
        <w:fldChar w:fldCharType="begin"/>
      </w:r>
      <w:r>
        <w:instrText xml:space="preserve"> PAGEREF _Toc10388 \h </w:instrText>
      </w:r>
      <w:r>
        <w:fldChar w:fldCharType="separate"/>
      </w:r>
      <w:r>
        <w:t>1</w:t>
      </w:r>
      <w:r>
        <w:fldChar w:fldCharType="end"/>
      </w:r>
      <w:r>
        <w:fldChar w:fldCharType="end"/>
      </w:r>
    </w:p>
    <w:p w14:paraId="4359ED52">
      <w:pPr>
        <w:pStyle w:val="19"/>
        <w:tabs>
          <w:tab w:val="right" w:leader="dot" w:pos="9354"/>
        </w:tabs>
      </w:pPr>
      <w:r>
        <w:fldChar w:fldCharType="begin"/>
      </w:r>
      <w:r>
        <w:instrText xml:space="preserve"> HYPERLINK \l _Toc11266 </w:instrText>
      </w:r>
      <w:r>
        <w:fldChar w:fldCharType="separate"/>
      </w:r>
      <w:r>
        <w:rPr>
          <w:rFonts w:hint="eastAsia" w:ascii="黑体" w:eastAsia="黑体"/>
          <w:i w:val="0"/>
        </w:rPr>
        <w:t xml:space="preserve">5 </w:t>
      </w:r>
      <w:r>
        <w:rPr>
          <w:rFonts w:hint="eastAsia"/>
        </w:rPr>
        <w:t>菇棚建造</w:t>
      </w:r>
      <w:r>
        <w:tab/>
      </w:r>
      <w:r>
        <w:fldChar w:fldCharType="begin"/>
      </w:r>
      <w:r>
        <w:instrText xml:space="preserve"> PAGEREF _Toc11266 \h </w:instrText>
      </w:r>
      <w:r>
        <w:fldChar w:fldCharType="separate"/>
      </w:r>
      <w:r>
        <w:t>1</w:t>
      </w:r>
      <w:r>
        <w:fldChar w:fldCharType="end"/>
      </w:r>
      <w:r>
        <w:fldChar w:fldCharType="end"/>
      </w:r>
    </w:p>
    <w:p w14:paraId="668F7ABC">
      <w:pPr>
        <w:pStyle w:val="19"/>
        <w:tabs>
          <w:tab w:val="right" w:leader="dot" w:pos="9354"/>
        </w:tabs>
      </w:pPr>
      <w:r>
        <w:fldChar w:fldCharType="begin"/>
      </w:r>
      <w:r>
        <w:instrText xml:space="preserve"> HYPERLINK \l _Toc10538 </w:instrText>
      </w:r>
      <w:r>
        <w:fldChar w:fldCharType="separate"/>
      </w:r>
      <w:r>
        <w:rPr>
          <w:rFonts w:hint="eastAsia" w:ascii="黑体" w:eastAsia="黑体"/>
          <w:i w:val="0"/>
        </w:rPr>
        <w:t xml:space="preserve">6 </w:t>
      </w:r>
      <w:r>
        <w:rPr>
          <w:rFonts w:hint="eastAsia"/>
        </w:rPr>
        <w:t>生产季</w:t>
      </w:r>
      <w:r>
        <w:tab/>
      </w:r>
      <w:r>
        <w:fldChar w:fldCharType="begin"/>
      </w:r>
      <w:r>
        <w:instrText xml:space="preserve"> PAGEREF _Toc10538 \h </w:instrText>
      </w:r>
      <w:r>
        <w:fldChar w:fldCharType="separate"/>
      </w:r>
      <w:r>
        <w:t>2</w:t>
      </w:r>
      <w:r>
        <w:fldChar w:fldCharType="end"/>
      </w:r>
      <w:r>
        <w:fldChar w:fldCharType="end"/>
      </w:r>
    </w:p>
    <w:p w14:paraId="332490D0">
      <w:pPr>
        <w:pStyle w:val="19"/>
        <w:tabs>
          <w:tab w:val="right" w:leader="dot" w:pos="9354"/>
        </w:tabs>
      </w:pPr>
      <w:r>
        <w:fldChar w:fldCharType="begin"/>
      </w:r>
      <w:r>
        <w:instrText xml:space="preserve"> HYPERLINK \l _Toc2056 </w:instrText>
      </w:r>
      <w:r>
        <w:fldChar w:fldCharType="separate"/>
      </w:r>
      <w:r>
        <w:rPr>
          <w:rFonts w:hint="eastAsia" w:ascii="黑体" w:eastAsia="黑体"/>
          <w:i w:val="0"/>
        </w:rPr>
        <w:t xml:space="preserve">7 </w:t>
      </w:r>
      <w:r>
        <w:rPr>
          <w:rFonts w:hint="eastAsia"/>
        </w:rPr>
        <w:t>菌</w:t>
      </w:r>
      <w:r>
        <w:rPr>
          <w:rFonts w:hint="eastAsia"/>
          <w:lang w:val="en-US" w:eastAsia="zh-CN"/>
        </w:rPr>
        <w:t>棒</w:t>
      </w:r>
      <w:r>
        <w:rPr>
          <w:rFonts w:hint="eastAsia"/>
        </w:rPr>
        <w:t>制作</w:t>
      </w:r>
      <w:r>
        <w:tab/>
      </w:r>
      <w:r>
        <w:fldChar w:fldCharType="begin"/>
      </w:r>
      <w:r>
        <w:instrText xml:space="preserve"> PAGEREF _Toc2056 \h </w:instrText>
      </w:r>
      <w:r>
        <w:fldChar w:fldCharType="separate"/>
      </w:r>
      <w:r>
        <w:t>2</w:t>
      </w:r>
      <w:r>
        <w:fldChar w:fldCharType="end"/>
      </w:r>
      <w:r>
        <w:fldChar w:fldCharType="end"/>
      </w:r>
    </w:p>
    <w:p w14:paraId="229A087C">
      <w:pPr>
        <w:pStyle w:val="19"/>
        <w:tabs>
          <w:tab w:val="right" w:leader="dot" w:pos="9354"/>
        </w:tabs>
      </w:pPr>
      <w:r>
        <w:fldChar w:fldCharType="begin"/>
      </w:r>
      <w:r>
        <w:instrText xml:space="preserve"> HYPERLINK \l _Toc25180 </w:instrText>
      </w:r>
      <w:r>
        <w:fldChar w:fldCharType="separate"/>
      </w:r>
      <w:r>
        <w:rPr>
          <w:rFonts w:hint="eastAsia" w:ascii="黑体" w:eastAsia="黑体"/>
          <w:i w:val="0"/>
        </w:rPr>
        <w:t xml:space="preserve">8 </w:t>
      </w:r>
      <w:r>
        <w:rPr>
          <w:rFonts w:hint="eastAsia"/>
        </w:rPr>
        <w:t>发菌培养</w:t>
      </w:r>
      <w:r>
        <w:tab/>
      </w:r>
      <w:r>
        <w:fldChar w:fldCharType="begin"/>
      </w:r>
      <w:r>
        <w:instrText xml:space="preserve"> PAGEREF _Toc25180 \h </w:instrText>
      </w:r>
      <w:r>
        <w:fldChar w:fldCharType="separate"/>
      </w:r>
      <w:r>
        <w:t>2</w:t>
      </w:r>
      <w:r>
        <w:fldChar w:fldCharType="end"/>
      </w:r>
      <w:r>
        <w:fldChar w:fldCharType="end"/>
      </w:r>
    </w:p>
    <w:p w14:paraId="483F4CA4">
      <w:pPr>
        <w:pStyle w:val="19"/>
        <w:tabs>
          <w:tab w:val="right" w:leader="dot" w:pos="9354"/>
        </w:tabs>
      </w:pPr>
      <w:r>
        <w:fldChar w:fldCharType="begin"/>
      </w:r>
      <w:r>
        <w:instrText xml:space="preserve"> HYPERLINK \l _Toc16581 </w:instrText>
      </w:r>
      <w:r>
        <w:fldChar w:fldCharType="separate"/>
      </w:r>
      <w:r>
        <w:rPr>
          <w:rFonts w:hint="eastAsia" w:ascii="黑体" w:eastAsia="黑体"/>
          <w:i w:val="0"/>
        </w:rPr>
        <w:t xml:space="preserve">9 </w:t>
      </w:r>
      <w:r>
        <w:rPr>
          <w:rFonts w:hint="eastAsia"/>
        </w:rPr>
        <w:t>转色管理</w:t>
      </w:r>
      <w:r>
        <w:tab/>
      </w:r>
      <w:r>
        <w:fldChar w:fldCharType="begin"/>
      </w:r>
      <w:r>
        <w:instrText xml:space="preserve"> PAGEREF _Toc16581 \h </w:instrText>
      </w:r>
      <w:r>
        <w:fldChar w:fldCharType="separate"/>
      </w:r>
      <w:r>
        <w:t>3</w:t>
      </w:r>
      <w:r>
        <w:fldChar w:fldCharType="end"/>
      </w:r>
      <w:r>
        <w:fldChar w:fldCharType="end"/>
      </w:r>
    </w:p>
    <w:p w14:paraId="6C107380">
      <w:pPr>
        <w:pStyle w:val="19"/>
        <w:tabs>
          <w:tab w:val="right" w:leader="dot" w:pos="9354"/>
        </w:tabs>
      </w:pPr>
      <w:r>
        <w:fldChar w:fldCharType="begin"/>
      </w:r>
      <w:r>
        <w:instrText xml:space="preserve"> HYPERLINK \l _Toc9934 </w:instrText>
      </w:r>
      <w:r>
        <w:fldChar w:fldCharType="separate"/>
      </w:r>
      <w:r>
        <w:rPr>
          <w:rFonts w:hint="eastAsia" w:ascii="黑体" w:eastAsia="黑体"/>
          <w:i w:val="0"/>
        </w:rPr>
        <w:t xml:space="preserve">10 </w:t>
      </w:r>
      <w:r>
        <w:rPr>
          <w:rFonts w:hint="eastAsia"/>
        </w:rPr>
        <w:t>出菇管理</w:t>
      </w:r>
      <w:r>
        <w:tab/>
      </w:r>
      <w:r>
        <w:fldChar w:fldCharType="begin"/>
      </w:r>
      <w:r>
        <w:instrText xml:space="preserve"> PAGEREF _Toc9934 \h </w:instrText>
      </w:r>
      <w:r>
        <w:fldChar w:fldCharType="separate"/>
      </w:r>
      <w:r>
        <w:t>3</w:t>
      </w:r>
      <w:r>
        <w:fldChar w:fldCharType="end"/>
      </w:r>
      <w:r>
        <w:fldChar w:fldCharType="end"/>
      </w:r>
    </w:p>
    <w:p w14:paraId="0ED0B45E">
      <w:pPr>
        <w:pStyle w:val="19"/>
        <w:tabs>
          <w:tab w:val="right" w:leader="dot" w:pos="9354"/>
        </w:tabs>
      </w:pPr>
      <w:r>
        <w:fldChar w:fldCharType="begin"/>
      </w:r>
      <w:r>
        <w:instrText xml:space="preserve"> HYPERLINK \l _Toc21651 </w:instrText>
      </w:r>
      <w:r>
        <w:fldChar w:fldCharType="separate"/>
      </w:r>
      <w:r>
        <w:rPr>
          <w:rFonts w:hint="eastAsia" w:ascii="黑体" w:eastAsia="黑体"/>
          <w:i w:val="0"/>
        </w:rPr>
        <w:t xml:space="preserve">11 </w:t>
      </w:r>
      <w:r>
        <w:rPr>
          <w:rFonts w:hint="eastAsia"/>
        </w:rPr>
        <w:t>采收</w:t>
      </w:r>
      <w:r>
        <w:tab/>
      </w:r>
      <w:r>
        <w:fldChar w:fldCharType="begin"/>
      </w:r>
      <w:r>
        <w:instrText xml:space="preserve"> PAGEREF _Toc21651 \h </w:instrText>
      </w:r>
      <w:r>
        <w:fldChar w:fldCharType="separate"/>
      </w:r>
      <w:r>
        <w:t>3</w:t>
      </w:r>
      <w:r>
        <w:fldChar w:fldCharType="end"/>
      </w:r>
      <w:r>
        <w:fldChar w:fldCharType="end"/>
      </w:r>
    </w:p>
    <w:p w14:paraId="333F7469">
      <w:pPr>
        <w:pStyle w:val="19"/>
        <w:tabs>
          <w:tab w:val="right" w:leader="dot" w:pos="9354"/>
        </w:tabs>
      </w:pPr>
      <w:r>
        <w:fldChar w:fldCharType="begin"/>
      </w:r>
      <w:r>
        <w:instrText xml:space="preserve"> HYPERLINK \l _Toc16531 </w:instrText>
      </w:r>
      <w:r>
        <w:fldChar w:fldCharType="separate"/>
      </w:r>
      <w:r>
        <w:rPr>
          <w:rFonts w:hint="eastAsia" w:ascii="黑体" w:eastAsia="黑体"/>
          <w:i w:val="0"/>
        </w:rPr>
        <w:t xml:space="preserve">12 </w:t>
      </w:r>
      <w:r>
        <w:rPr>
          <w:rFonts w:hint="eastAsia"/>
          <w:lang w:val="en-US" w:eastAsia="zh-CN"/>
        </w:rPr>
        <w:t>生产</w:t>
      </w:r>
      <w:r>
        <w:rPr>
          <w:rFonts w:hint="eastAsia"/>
        </w:rPr>
        <w:t>档案</w:t>
      </w:r>
      <w:r>
        <w:tab/>
      </w:r>
      <w:r>
        <w:fldChar w:fldCharType="begin"/>
      </w:r>
      <w:r>
        <w:instrText xml:space="preserve"> PAGEREF _Toc16531 \h </w:instrText>
      </w:r>
      <w:r>
        <w:fldChar w:fldCharType="separate"/>
      </w:r>
      <w:r>
        <w:t>3</w:t>
      </w:r>
      <w:r>
        <w:fldChar w:fldCharType="end"/>
      </w:r>
      <w:r>
        <w:fldChar w:fldCharType="end"/>
      </w:r>
    </w:p>
    <w:p w14:paraId="31A20803">
      <w:pPr>
        <w:pStyle w:val="19"/>
        <w:tabs>
          <w:tab w:val="right" w:leader="dot" w:pos="9354"/>
        </w:tabs>
      </w:pPr>
      <w:r>
        <w:fldChar w:fldCharType="begin"/>
      </w:r>
      <w:r>
        <w:instrText xml:space="preserve"> HYPERLINK \l _Toc7641 </w:instrText>
      </w:r>
      <w:r>
        <w:fldChar w:fldCharType="separate"/>
      </w:r>
      <w:r>
        <w:rPr>
          <w:rFonts w:hint="eastAsia"/>
          <w:spacing w:val="100"/>
        </w:rPr>
        <w:t xml:space="preserve">附录A </w:t>
      </w:r>
      <w:r>
        <w:t xml:space="preserve"> </w:t>
      </w:r>
      <w:r>
        <w:rPr>
          <w:rFonts w:hint="eastAsia"/>
        </w:rPr>
        <w:t>（资料性）</w:t>
      </w:r>
      <w:r>
        <w:t xml:space="preserve"> </w:t>
      </w:r>
      <w:r>
        <w:rPr>
          <w:rFonts w:hint="eastAsia"/>
          <w:lang w:val="en-US" w:eastAsia="zh-CN"/>
        </w:rPr>
        <w:t>香菇生产档案记录表</w:t>
      </w:r>
      <w:r>
        <w:tab/>
      </w:r>
      <w:r>
        <w:fldChar w:fldCharType="begin"/>
      </w:r>
      <w:r>
        <w:instrText xml:space="preserve"> PAGEREF _Toc7641 \h </w:instrText>
      </w:r>
      <w:r>
        <w:fldChar w:fldCharType="separate"/>
      </w:r>
      <w:r>
        <w:t>4</w:t>
      </w:r>
      <w:r>
        <w:fldChar w:fldCharType="end"/>
      </w:r>
      <w:r>
        <w:fldChar w:fldCharType="end"/>
      </w:r>
    </w:p>
    <w:p w14:paraId="7BCEB258">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E579876">
      <w:pPr>
        <w:pStyle w:val="89"/>
        <w:spacing w:after="468"/>
      </w:pPr>
      <w:bookmarkStart w:id="22" w:name="_Toc27718"/>
      <w:bookmarkStart w:id="23" w:name="BookMark2"/>
      <w:r>
        <w:rPr>
          <w:spacing w:val="320"/>
        </w:rPr>
        <w:t>前</w:t>
      </w:r>
      <w:r>
        <w:t>言</w:t>
      </w:r>
      <w:bookmarkEnd w:id="22"/>
    </w:p>
    <w:p w14:paraId="1FF91910">
      <w:pPr>
        <w:pStyle w:val="56"/>
        <w:ind w:firstLine="420"/>
      </w:pPr>
      <w:r>
        <w:rPr>
          <w:rFonts w:hint="eastAsia"/>
        </w:rPr>
        <w:t>本文件按照GB/T 1.1—2020《标准化工作导则  第1部分：标准化文件的结构和起草规则》的规定起草。</w:t>
      </w:r>
    </w:p>
    <w:p w14:paraId="76F0830B">
      <w:pPr>
        <w:pStyle w:val="56"/>
        <w:ind w:firstLine="420"/>
      </w:pPr>
      <w:r>
        <w:rPr>
          <w:rFonts w:hint="eastAsia"/>
        </w:rPr>
        <w:t>本文件由山西省农业农村厅提出、组织实施和监督检查。</w:t>
      </w:r>
    </w:p>
    <w:p w14:paraId="3F49AB98">
      <w:pPr>
        <w:pStyle w:val="56"/>
        <w:ind w:firstLine="420"/>
      </w:pPr>
      <w:r>
        <w:rPr>
          <w:rFonts w:hint="eastAsia"/>
        </w:rPr>
        <w:t>本文件由山西省农业标准化技术委员会（SXS/TC19)归口。</w:t>
      </w:r>
    </w:p>
    <w:p w14:paraId="5E833309">
      <w:pPr>
        <w:pStyle w:val="56"/>
        <w:ind w:firstLine="420"/>
      </w:pPr>
      <w:r>
        <w:rPr>
          <w:rFonts w:hint="eastAsia"/>
        </w:rPr>
        <w:t>本文件起草单位：山西农业大学。</w:t>
      </w:r>
    </w:p>
    <w:p w14:paraId="42B4DBD1">
      <w:pPr>
        <w:pStyle w:val="56"/>
        <w:ind w:firstLine="420"/>
      </w:pPr>
      <w:r>
        <w:rPr>
          <w:rFonts w:hint="eastAsia"/>
        </w:rPr>
        <w:t>本文件主要起草人：刘靖宇、常明昌、孟俊龙、</w:t>
      </w:r>
      <w:r>
        <w:rPr>
          <w:rFonts w:hint="eastAsia"/>
          <w:lang w:val="en-US" w:eastAsia="zh-CN"/>
        </w:rPr>
        <w:t>李亮、</w:t>
      </w:r>
      <w:r>
        <w:rPr>
          <w:rFonts w:hint="eastAsia"/>
        </w:rPr>
        <w:t>赵斌、程红艳、冯翠萍、程艳芬、邓冰、杨杰。</w:t>
      </w:r>
    </w:p>
    <w:p w14:paraId="526BF5D3">
      <w:pPr>
        <w:pStyle w:val="56"/>
        <w:ind w:firstLine="420"/>
      </w:pPr>
    </w:p>
    <w:p w14:paraId="367B547A">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33BF869C">
      <w:pPr>
        <w:spacing w:line="20" w:lineRule="exact"/>
        <w:jc w:val="center"/>
        <w:rPr>
          <w:rFonts w:ascii="黑体" w:hAnsi="黑体" w:eastAsia="黑体"/>
          <w:sz w:val="32"/>
          <w:szCs w:val="32"/>
        </w:rPr>
      </w:pPr>
      <w:bookmarkStart w:id="24" w:name="BookMark4"/>
    </w:p>
    <w:p w14:paraId="1E4ABC3F">
      <w:pPr>
        <w:spacing w:line="20" w:lineRule="exact"/>
        <w:jc w:val="center"/>
        <w:rPr>
          <w:rFonts w:ascii="黑体" w:hAnsi="黑体" w:eastAsia="黑体"/>
          <w:sz w:val="32"/>
          <w:szCs w:val="32"/>
        </w:rPr>
      </w:pPr>
    </w:p>
    <w:sdt>
      <w:sdtPr>
        <w:tag w:val="NEW_STAND_NAME"/>
        <w:id w:val="595910757"/>
        <w:lock w:val="sdtLocked"/>
        <w:placeholder>
          <w:docPart w:val="7402F6CCC7944607B91BE3BB36C0818F"/>
        </w:placeholder>
      </w:sdtPr>
      <w:sdtContent>
        <w:p w14:paraId="2FF4CCC8">
          <w:pPr>
            <w:pStyle w:val="177"/>
            <w:spacing w:before="3" w:beforeLines="1" w:after="686" w:afterLines="220"/>
          </w:pPr>
          <w:bookmarkStart w:id="25" w:name="NEW_STAND_NAME"/>
          <w:r>
            <w:rPr>
              <w:rFonts w:hint="eastAsia"/>
            </w:rPr>
            <w:t>夏季香菇生产技术规程</w:t>
          </w:r>
        </w:p>
      </w:sdtContent>
    </w:sdt>
    <w:bookmarkEnd w:id="25"/>
    <w:p w14:paraId="5923CEC0">
      <w:pPr>
        <w:pStyle w:val="104"/>
        <w:spacing w:before="312" w:after="312"/>
      </w:pPr>
      <w:bookmarkStart w:id="26" w:name="_Toc26648465"/>
      <w:bookmarkStart w:id="27" w:name="_Toc26986530"/>
      <w:bookmarkStart w:id="28" w:name="_Toc17233325"/>
      <w:bookmarkStart w:id="29" w:name="_Toc97191423"/>
      <w:bookmarkStart w:id="30" w:name="_Toc24884218"/>
      <w:bookmarkStart w:id="31" w:name="_Toc24884211"/>
      <w:bookmarkStart w:id="32" w:name="_Toc17233333"/>
      <w:bookmarkStart w:id="33" w:name="_Toc26718930"/>
      <w:bookmarkStart w:id="34" w:name="_Toc163383841"/>
      <w:bookmarkStart w:id="35" w:name="_Toc26986771"/>
      <w:bookmarkStart w:id="36" w:name="_Toc18523"/>
      <w:r>
        <w:rPr>
          <w:rFonts w:hint="eastAsia"/>
        </w:rPr>
        <w:t>范围</w:t>
      </w:r>
      <w:bookmarkEnd w:id="26"/>
      <w:bookmarkEnd w:id="27"/>
      <w:bookmarkEnd w:id="28"/>
      <w:bookmarkEnd w:id="29"/>
      <w:bookmarkEnd w:id="30"/>
      <w:bookmarkEnd w:id="31"/>
      <w:bookmarkEnd w:id="32"/>
      <w:bookmarkEnd w:id="33"/>
      <w:bookmarkEnd w:id="34"/>
      <w:bookmarkEnd w:id="35"/>
      <w:bookmarkEnd w:id="36"/>
    </w:p>
    <w:p w14:paraId="7249B4D7">
      <w:pPr>
        <w:pStyle w:val="56"/>
        <w:ind w:firstLine="420"/>
      </w:pPr>
      <w:bookmarkStart w:id="37" w:name="_Toc24884212"/>
      <w:bookmarkStart w:id="38" w:name="_Toc17233334"/>
      <w:bookmarkStart w:id="39" w:name="_Toc26648466"/>
      <w:bookmarkStart w:id="40" w:name="_Toc17233326"/>
      <w:bookmarkStart w:id="41" w:name="_Toc24884219"/>
      <w:r>
        <w:rPr>
          <w:rFonts w:hint="eastAsia"/>
        </w:rPr>
        <w:t>本文件规定了夏季香菇</w:t>
      </w:r>
      <w:r>
        <w:rPr>
          <w:rFonts w:hint="eastAsia"/>
          <w:lang w:val="en-US" w:eastAsia="zh-CN"/>
        </w:rPr>
        <w:t>生产</w:t>
      </w:r>
      <w:r>
        <w:rPr>
          <w:rFonts w:hint="eastAsia"/>
        </w:rPr>
        <w:t>的术语和定义、场地选择、菇棚建造、菌袋制作、发菌培养、转色管理及采收。</w:t>
      </w:r>
    </w:p>
    <w:p w14:paraId="324D11EE">
      <w:pPr>
        <w:pStyle w:val="56"/>
        <w:ind w:firstLine="420"/>
      </w:pPr>
      <w:r>
        <w:rPr>
          <w:rFonts w:hint="eastAsia"/>
        </w:rPr>
        <w:t>本文件适用于夏季香菇生产。</w:t>
      </w:r>
    </w:p>
    <w:p w14:paraId="5C9CE70D">
      <w:pPr>
        <w:pStyle w:val="104"/>
        <w:spacing w:before="312" w:after="312"/>
      </w:pPr>
      <w:bookmarkStart w:id="42" w:name="_Toc97191424"/>
      <w:bookmarkStart w:id="43" w:name="_Toc3979"/>
      <w:bookmarkStart w:id="44" w:name="_Toc26986531"/>
      <w:bookmarkStart w:id="45" w:name="_Toc26986772"/>
      <w:bookmarkStart w:id="46" w:name="_Toc26718931"/>
      <w:bookmarkStart w:id="47" w:name="_Toc16338384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7A04860C9D443E581376A1A4468C4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B22B2EE">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87EA88">
      <w:pPr>
        <w:pStyle w:val="56"/>
        <w:ind w:firstLine="420"/>
      </w:pPr>
      <w:r>
        <w:rPr>
          <w:rFonts w:hint="eastAsia"/>
        </w:rPr>
        <w:t>GB/T 12728 食用菌术语</w:t>
      </w:r>
    </w:p>
    <w:p w14:paraId="35C51FFA">
      <w:pPr>
        <w:pStyle w:val="56"/>
        <w:ind w:firstLine="420"/>
      </w:pPr>
      <w:r>
        <w:rPr>
          <w:rFonts w:hint="eastAsia"/>
        </w:rPr>
        <w:t>GB 19170 香菇菌种</w:t>
      </w:r>
    </w:p>
    <w:p w14:paraId="0CE69DCE">
      <w:pPr>
        <w:pStyle w:val="56"/>
        <w:ind w:firstLine="420"/>
        <w:rPr>
          <w:rFonts w:hint="eastAsia"/>
        </w:rPr>
      </w:pPr>
      <w:r>
        <w:rPr>
          <w:rFonts w:hint="eastAsia"/>
        </w:rPr>
        <w:t>NY/T 391 绿色食品 产地环境质量</w:t>
      </w:r>
    </w:p>
    <w:p w14:paraId="0CCF76FB">
      <w:pPr>
        <w:pStyle w:val="56"/>
        <w:ind w:firstLine="420"/>
      </w:pPr>
      <w:r>
        <w:rPr>
          <w:rFonts w:hint="eastAsia"/>
        </w:rPr>
        <w:t>NY/T 528 食用菌菌种生产技术规程</w:t>
      </w:r>
    </w:p>
    <w:p w14:paraId="249E340F">
      <w:pPr>
        <w:pStyle w:val="56"/>
        <w:ind w:firstLine="420"/>
      </w:pPr>
      <w:r>
        <w:rPr>
          <w:rFonts w:hint="eastAsia"/>
        </w:rPr>
        <w:t>NY/T 1935 食用菌栽培基质质量安全要求</w:t>
      </w:r>
    </w:p>
    <w:p w14:paraId="3304C44C">
      <w:pPr>
        <w:pStyle w:val="104"/>
        <w:spacing w:before="312" w:after="312"/>
      </w:pPr>
      <w:bookmarkStart w:id="48" w:name="_Toc97191425"/>
      <w:bookmarkStart w:id="49" w:name="_Toc163383843"/>
      <w:bookmarkStart w:id="50" w:name="_Toc19812"/>
      <w:r>
        <w:rPr>
          <w:rFonts w:hint="eastAsia"/>
          <w:szCs w:val="21"/>
        </w:rPr>
        <w:t>术语和定义</w:t>
      </w:r>
      <w:bookmarkEnd w:id="48"/>
      <w:bookmarkEnd w:id="49"/>
      <w:bookmarkEnd w:id="50"/>
    </w:p>
    <w:sdt>
      <w:sdtPr>
        <w:id w:val="-1909835108"/>
        <w:placeholder>
          <w:docPart w:val="08FD7F81A1204074A1F72A397D9545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C4B4266">
          <w:pPr>
            <w:pStyle w:val="56"/>
            <w:ind w:firstLine="420"/>
          </w:pPr>
          <w:bookmarkStart w:id="51" w:name="_Toc26986532"/>
          <w:bookmarkEnd w:id="51"/>
          <w:r>
            <w:t>GB/T 12728界定的以及下列术语和定义适用于本文件。</w:t>
          </w:r>
        </w:p>
      </w:sdtContent>
    </w:sdt>
    <w:p w14:paraId="71492CF6">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转色</w:t>
      </w:r>
    </w:p>
    <w:p w14:paraId="2FCAFF68">
      <w:pPr>
        <w:pStyle w:val="56"/>
        <w:ind w:firstLine="420"/>
      </w:pPr>
      <w:r>
        <w:rPr>
          <w:rFonts w:hint="eastAsia"/>
        </w:rPr>
        <w:t>香菇菌丝在培养基内生长至一定阶段，由于气生菌丝倒伏与色素分泌而使菌棒表层转变为红褐色的过程。</w:t>
      </w:r>
    </w:p>
    <w:p w14:paraId="52791A4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催蕾</w:t>
      </w:r>
    </w:p>
    <w:p w14:paraId="1ED76DBE">
      <w:pPr>
        <w:pStyle w:val="56"/>
        <w:ind w:firstLine="420"/>
      </w:pPr>
      <w:r>
        <w:rPr>
          <w:rFonts w:hint="eastAsia"/>
        </w:rPr>
        <w:t>采取变温、保湿、通风等方法促进菇蕾形成的措施。</w:t>
      </w:r>
    </w:p>
    <w:p w14:paraId="68FD0C3E">
      <w:pPr>
        <w:pStyle w:val="104"/>
        <w:spacing w:before="312" w:after="312"/>
      </w:pPr>
      <w:bookmarkStart w:id="52" w:name="_Toc10388"/>
      <w:bookmarkStart w:id="53" w:name="_Toc163383844"/>
      <w:r>
        <w:rPr>
          <w:rFonts w:hint="eastAsia"/>
        </w:rPr>
        <w:t>场地选择</w:t>
      </w:r>
      <w:bookmarkEnd w:id="52"/>
      <w:bookmarkEnd w:id="53"/>
    </w:p>
    <w:p w14:paraId="54D2DBC9">
      <w:pPr>
        <w:pStyle w:val="56"/>
        <w:ind w:firstLine="420"/>
      </w:pPr>
      <w:r>
        <w:rPr>
          <w:rFonts w:hint="eastAsia"/>
        </w:rPr>
        <w:t>场地</w:t>
      </w:r>
      <w:r>
        <w:rPr>
          <w:rFonts w:hint="eastAsia" w:hAnsi="宋体"/>
        </w:rPr>
        <w:t>应地势平坦，交通便利，远离污染源，场地环境应符合NY/T 391规定的要求。</w:t>
      </w:r>
    </w:p>
    <w:p w14:paraId="2CFC922A">
      <w:pPr>
        <w:pStyle w:val="104"/>
        <w:spacing w:before="312" w:after="312"/>
      </w:pPr>
      <w:bookmarkStart w:id="54" w:name="_Toc163383845"/>
      <w:bookmarkStart w:id="55" w:name="_Toc11266"/>
      <w:r>
        <w:rPr>
          <w:rFonts w:hint="eastAsia"/>
        </w:rPr>
        <w:t>菇棚建造</w:t>
      </w:r>
      <w:bookmarkEnd w:id="54"/>
      <w:bookmarkEnd w:id="55"/>
    </w:p>
    <w:p w14:paraId="02EEF679">
      <w:pPr>
        <w:pStyle w:val="105"/>
        <w:spacing w:before="156" w:after="156"/>
      </w:pPr>
      <w:r>
        <w:rPr>
          <w:rFonts w:hint="eastAsia"/>
        </w:rPr>
        <w:t>发菌菇棚建造</w:t>
      </w:r>
    </w:p>
    <w:p w14:paraId="6A529D98">
      <w:pPr>
        <w:pStyle w:val="56"/>
        <w:ind w:firstLine="420"/>
      </w:pPr>
      <w:r>
        <w:rPr>
          <w:rFonts w:hint="eastAsia"/>
        </w:rPr>
        <w:t>采用单拱钢结构棚体，主材为6分镀锌管，棚宽8.0 m，长30 m</w:t>
      </w:r>
      <w:r>
        <w:rPr>
          <w:rFonts w:hint="eastAsia" w:hAnsi="宋体"/>
        </w:rPr>
        <w:t>～</w:t>
      </w:r>
      <w:r>
        <w:rPr>
          <w:rFonts w:hint="eastAsia"/>
        </w:rPr>
        <w:t>50 m，脊高3 m，棚体覆盖中间夹一层玻璃棉的双层棚膜，拱棚内罩一层遮光率为90％的遮阳网，棚膜下端与卷膜器连接，便于起放通风。菇棚东西两侧采用</w:t>
      </w:r>
      <w:r>
        <w:rPr>
          <w:rFonts w:hint="eastAsia" w:hAnsi="宋体"/>
        </w:rPr>
        <w:t>保温隔热性能良好且燃烧性能等级为B1级以上夹心板材</w:t>
      </w:r>
      <w:r>
        <w:rPr>
          <w:rFonts w:hint="eastAsia"/>
        </w:rPr>
        <w:t>建造，保温板密度≥20 kg/m</w:t>
      </w:r>
      <w:r>
        <w:rPr>
          <w:rFonts w:hint="eastAsia"/>
          <w:vertAlign w:val="superscript"/>
        </w:rPr>
        <w:t>3</w:t>
      </w:r>
      <w:r>
        <w:rPr>
          <w:rFonts w:hint="eastAsia"/>
        </w:rPr>
        <w:t>，厚度≥15 cm，中间安装棚门1个。</w:t>
      </w:r>
    </w:p>
    <w:p w14:paraId="4F4A5B04">
      <w:pPr>
        <w:pStyle w:val="105"/>
        <w:spacing w:before="156" w:after="156"/>
      </w:pPr>
      <w:r>
        <w:rPr>
          <w:rFonts w:hint="eastAsia"/>
        </w:rPr>
        <w:t>出菇棚建造</w:t>
      </w:r>
    </w:p>
    <w:p w14:paraId="430756A8">
      <w:pPr>
        <w:pStyle w:val="56"/>
        <w:ind w:firstLine="420"/>
      </w:pPr>
      <w:r>
        <w:rPr>
          <w:rFonts w:hint="eastAsia"/>
        </w:rPr>
        <w:t>采用双拱形结构棚体，主材为6分镀锌管，外拱棚宽9.0 m，顶高3.5 m，长30 m，外罩一层遮光率为90％的遮阳网。内拱棚宽8.0 m，顶高3.0 m，长28 m，外罩一层棚膜，棚膜下端与卷膜器连接，棚内搭建床架，床架间距25 cm，底层距地面20 cm，共6层，架与架之间预留人行通道80 cm</w:t>
      </w:r>
      <w:r>
        <w:rPr>
          <w:rFonts w:hint="eastAsia" w:hAnsi="宋体"/>
        </w:rPr>
        <w:t>～</w:t>
      </w:r>
      <w:r>
        <w:rPr>
          <w:rFonts w:hint="eastAsia"/>
        </w:rPr>
        <w:t>100 cm。</w:t>
      </w:r>
    </w:p>
    <w:p w14:paraId="0293737B">
      <w:pPr>
        <w:pStyle w:val="104"/>
        <w:spacing w:before="312" w:after="312"/>
      </w:pPr>
      <w:bookmarkStart w:id="56" w:name="_Toc163383846"/>
      <w:bookmarkStart w:id="57" w:name="_Toc10538"/>
      <w:r>
        <w:rPr>
          <w:rFonts w:hint="eastAsia"/>
        </w:rPr>
        <w:t>生产季</w:t>
      </w:r>
      <w:bookmarkEnd w:id="56"/>
      <w:bookmarkEnd w:id="57"/>
    </w:p>
    <w:p w14:paraId="2D343092">
      <w:pPr>
        <w:pStyle w:val="56"/>
        <w:ind w:firstLine="420"/>
      </w:pPr>
      <w:r>
        <w:rPr>
          <w:rFonts w:hint="eastAsia"/>
        </w:rPr>
        <w:t>依据不同地区和不同的品种，在10月下旬至2月上旬进行菌棒接种，4月下旬至5月上旬开始进行出菇管理。</w:t>
      </w:r>
    </w:p>
    <w:p w14:paraId="1753B59E">
      <w:pPr>
        <w:pStyle w:val="104"/>
        <w:spacing w:before="312" w:after="312"/>
      </w:pPr>
      <w:bookmarkStart w:id="58" w:name="_Toc163383847"/>
      <w:bookmarkStart w:id="59" w:name="_Toc2056"/>
      <w:r>
        <w:rPr>
          <w:rFonts w:hint="eastAsia"/>
        </w:rPr>
        <w:t>菌</w:t>
      </w:r>
      <w:r>
        <w:rPr>
          <w:rFonts w:hint="eastAsia"/>
          <w:lang w:val="en-US" w:eastAsia="zh-CN"/>
        </w:rPr>
        <w:t>棒</w:t>
      </w:r>
      <w:r>
        <w:rPr>
          <w:rFonts w:hint="eastAsia"/>
        </w:rPr>
        <w:t>制作</w:t>
      </w:r>
      <w:bookmarkEnd w:id="58"/>
      <w:bookmarkEnd w:id="59"/>
    </w:p>
    <w:p w14:paraId="44E31DAF">
      <w:pPr>
        <w:pStyle w:val="105"/>
        <w:spacing w:before="156" w:after="156"/>
      </w:pPr>
      <w:r>
        <w:rPr>
          <w:rFonts w:hint="eastAsia"/>
        </w:rPr>
        <w:t>菌种</w:t>
      </w:r>
    </w:p>
    <w:p w14:paraId="48D1FDB6">
      <w:pPr>
        <w:pStyle w:val="56"/>
        <w:ind w:firstLine="420"/>
      </w:pPr>
      <w:r>
        <w:rPr>
          <w:rFonts w:hint="eastAsia"/>
        </w:rPr>
        <w:t>选择高产、优质、抗逆性强、商品性好、货架期长的优良品种。菌种生产应符合GB 19170和NY/T 528的要求。</w:t>
      </w:r>
    </w:p>
    <w:p w14:paraId="0A6CB7F2">
      <w:pPr>
        <w:pStyle w:val="105"/>
        <w:spacing w:before="156" w:after="156"/>
      </w:pPr>
      <w:bookmarkStart w:id="60" w:name="_Toc401569618"/>
      <w:r>
        <w:rPr>
          <w:rFonts w:hint="eastAsia"/>
        </w:rPr>
        <w:t>培养料制备</w:t>
      </w:r>
      <w:bookmarkEnd w:id="60"/>
    </w:p>
    <w:p w14:paraId="22B3A096">
      <w:pPr>
        <w:pStyle w:val="65"/>
        <w:spacing w:before="156" w:after="156"/>
      </w:pPr>
      <w:bookmarkStart w:id="61" w:name="_Toc401569619"/>
      <w:r>
        <w:rPr>
          <w:rFonts w:hint="eastAsia"/>
        </w:rPr>
        <w:t>培养料配方</w:t>
      </w:r>
      <w:bookmarkEnd w:id="61"/>
    </w:p>
    <w:p w14:paraId="10B13EA1">
      <w:pPr>
        <w:pStyle w:val="56"/>
        <w:ind w:firstLine="420"/>
      </w:pPr>
      <w:r>
        <w:rPr>
          <w:rFonts w:hint="eastAsia"/>
        </w:rPr>
        <w:t>阔叶树木屑82%，麸皮16%，轻质碳酸钙1%或石膏粉1%</w:t>
      </w:r>
      <w:r>
        <w:t>，过磷酸钙 1%。</w:t>
      </w:r>
      <w:r>
        <w:rPr>
          <w:rFonts w:hint="eastAsia"/>
        </w:rPr>
        <w:t>培养料质量应符合NY/T 1935的要求。</w:t>
      </w:r>
    </w:p>
    <w:p w14:paraId="1D258749">
      <w:pPr>
        <w:pStyle w:val="65"/>
        <w:spacing w:before="156" w:after="156"/>
      </w:pPr>
      <w:r>
        <w:rPr>
          <w:rFonts w:hint="eastAsia"/>
        </w:rPr>
        <w:t>拌料</w:t>
      </w:r>
    </w:p>
    <w:p w14:paraId="76E43090">
      <w:pPr>
        <w:pStyle w:val="56"/>
        <w:ind w:firstLine="420"/>
      </w:pPr>
      <w:bookmarkStart w:id="62" w:name="_Toc401569629"/>
      <w:r>
        <w:rPr>
          <w:rFonts w:hint="eastAsia"/>
        </w:rPr>
        <w:t>拌料时间≥</w:t>
      </w:r>
      <w:r>
        <w:t>30 min</w:t>
      </w:r>
      <w:r>
        <w:rPr>
          <w:rFonts w:hint="eastAsia"/>
        </w:rPr>
        <w:t>，调控含水量至60%～65%，pH值调至7.0～8.0。</w:t>
      </w:r>
    </w:p>
    <w:bookmarkEnd w:id="62"/>
    <w:p w14:paraId="55FAFD33">
      <w:pPr>
        <w:pStyle w:val="105"/>
        <w:spacing w:before="156" w:after="156"/>
      </w:pPr>
      <w:bookmarkStart w:id="63" w:name="_Toc401569630"/>
      <w:r>
        <w:rPr>
          <w:rFonts w:hint="eastAsia"/>
        </w:rPr>
        <w:t>装袋</w:t>
      </w:r>
      <w:bookmarkEnd w:id="63"/>
    </w:p>
    <w:p w14:paraId="238389A8">
      <w:pPr>
        <w:pStyle w:val="56"/>
        <w:ind w:firstLine="420"/>
      </w:pPr>
      <w:bookmarkStart w:id="64" w:name="_Toc401569632"/>
      <w:r>
        <w:rPr>
          <w:rFonts w:hint="eastAsia"/>
        </w:rPr>
        <w:t>采用装袋机，免割袋和内袋的规格均为18 cm×58</w:t>
      </w:r>
      <w:r>
        <w:t xml:space="preserve"> </w:t>
      </w:r>
      <w:r>
        <w:rPr>
          <w:rFonts w:hint="eastAsia"/>
        </w:rPr>
        <w:t>cm×0.007 cm。料袋填装要求均匀一致，单袋重量为湿重2.9 kg～3.1 kg，长度41 cm～42 cm，无沙眼或破损。若后期采用高压蒸汽灭菌，应在料袋上打微循环透气孔1个，并贴上专用透气胶片。</w:t>
      </w:r>
    </w:p>
    <w:bookmarkEnd w:id="64"/>
    <w:p w14:paraId="763853A0">
      <w:pPr>
        <w:pStyle w:val="105"/>
        <w:spacing w:before="156" w:after="156"/>
      </w:pPr>
      <w:bookmarkStart w:id="65" w:name="_Toc401569633"/>
      <w:r>
        <w:rPr>
          <w:rFonts w:hint="eastAsia"/>
        </w:rPr>
        <w:t>灭菌</w:t>
      </w:r>
      <w:bookmarkEnd w:id="65"/>
    </w:p>
    <w:p w14:paraId="304E5034">
      <w:pPr>
        <w:pStyle w:val="56"/>
        <w:ind w:firstLine="420"/>
        <w:rPr>
          <w:rFonts w:ascii="Times New Roman"/>
        </w:rPr>
      </w:pPr>
      <w:bookmarkStart w:id="66" w:name="_Toc438456110"/>
      <w:bookmarkStart w:id="67" w:name="_Toc401569635"/>
      <w:r>
        <w:rPr>
          <w:rFonts w:hint="eastAsia"/>
        </w:rPr>
        <w:t>采用高压蒸汽灭菌，105 ℃～115 ℃保持11 h ～12 h；</w:t>
      </w:r>
      <w:r>
        <w:t>采用</w:t>
      </w:r>
      <w:r>
        <w:rPr>
          <w:rFonts w:hint="eastAsia"/>
        </w:rPr>
        <w:t>常</w:t>
      </w:r>
      <w:r>
        <w:t>压</w:t>
      </w:r>
      <w:r>
        <w:rPr>
          <w:rFonts w:hint="eastAsia"/>
        </w:rPr>
        <w:t>蒸汽</w:t>
      </w:r>
      <w:r>
        <w:t>灭菌，</w:t>
      </w:r>
      <w:r>
        <w:rPr>
          <w:rFonts w:hint="eastAsia"/>
        </w:rPr>
        <w:t>料袋装入灭菌锅后4 h内达到100℃，保持20</w:t>
      </w:r>
      <w:r>
        <w:t xml:space="preserve"> h</w:t>
      </w:r>
      <w:r>
        <w:rPr>
          <w:rFonts w:hint="eastAsia"/>
        </w:rPr>
        <w:t>；停火，至袋温降到70 ℃时，趁热出锅，移入发菌棚。</w:t>
      </w:r>
      <w:bookmarkEnd w:id="66"/>
    </w:p>
    <w:bookmarkEnd w:id="67"/>
    <w:p w14:paraId="3D6B37A5">
      <w:pPr>
        <w:pStyle w:val="105"/>
        <w:spacing w:before="156" w:after="156"/>
      </w:pPr>
      <w:bookmarkStart w:id="68" w:name="_Toc401569636"/>
      <w:r>
        <w:rPr>
          <w:rFonts w:hint="eastAsia"/>
        </w:rPr>
        <w:t>接种</w:t>
      </w:r>
      <w:bookmarkEnd w:id="68"/>
    </w:p>
    <w:p w14:paraId="4F586009">
      <w:pPr>
        <w:pStyle w:val="56"/>
        <w:ind w:firstLine="420"/>
      </w:pPr>
      <w:r>
        <w:rPr>
          <w:rFonts w:hint="eastAsia"/>
        </w:rPr>
        <w:t>菌袋温度低于25 ℃时，严格按无菌操作规程进行单面接种。每袋接种4穴，穴直径2.8 cm，深度3 cm～4 cm，接入菌种压实后，应高于袋面1 mm～2 mm，之后，套上外套袋（长×幅宽×厚度：63 cm×20 cm×0.002 cm）。</w:t>
      </w:r>
    </w:p>
    <w:p w14:paraId="5E9C5547">
      <w:pPr>
        <w:pStyle w:val="104"/>
        <w:spacing w:before="312" w:after="312"/>
      </w:pPr>
      <w:bookmarkStart w:id="69" w:name="_Toc25180"/>
      <w:bookmarkStart w:id="70" w:name="_Toc163383848"/>
      <w:r>
        <w:rPr>
          <w:rFonts w:hint="eastAsia"/>
        </w:rPr>
        <w:t>发菌培养</w:t>
      </w:r>
      <w:bookmarkEnd w:id="69"/>
      <w:bookmarkEnd w:id="70"/>
    </w:p>
    <w:p w14:paraId="73603278">
      <w:pPr>
        <w:pStyle w:val="56"/>
        <w:ind w:firstLine="420"/>
      </w:pPr>
      <w:r>
        <w:t>把接种后的菌袋放入发菌室，按照</w:t>
      </w:r>
      <w:r>
        <w:rPr>
          <w:rFonts w:hint="eastAsia"/>
        </w:rPr>
        <w:t>“</w:t>
      </w:r>
      <w:r>
        <w:t>井</w:t>
      </w:r>
      <w:r>
        <w:rPr>
          <w:rFonts w:hint="eastAsia"/>
        </w:rPr>
        <w:t>”</w:t>
      </w:r>
      <w:r>
        <w:t>字型摆放，</w:t>
      </w:r>
      <w:r>
        <w:rPr>
          <w:rFonts w:hint="eastAsia"/>
        </w:rPr>
        <w:t>每层3～4 棒，每垛</w:t>
      </w:r>
      <w:r>
        <w:t>6</w:t>
      </w:r>
      <w:r>
        <w:rPr>
          <w:rFonts w:hint="eastAsia"/>
        </w:rPr>
        <w:t>～</w:t>
      </w:r>
      <w:r>
        <w:t>8</w:t>
      </w:r>
      <w:r>
        <w:rPr>
          <w:rFonts w:hint="eastAsia"/>
        </w:rPr>
        <w:t xml:space="preserve"> 层</w:t>
      </w:r>
      <w:r>
        <w:t>，</w:t>
      </w:r>
      <w:r>
        <w:rPr>
          <w:rFonts w:hint="eastAsia"/>
        </w:rPr>
        <w:t>垛外薄膜覆盖</w:t>
      </w:r>
      <w:r>
        <w:t>。</w:t>
      </w:r>
      <w:r>
        <w:rPr>
          <w:rFonts w:hint="eastAsia"/>
        </w:rPr>
        <w:t>菌袋内</w:t>
      </w:r>
      <w:r>
        <w:t>温度控制</w:t>
      </w:r>
      <w:r>
        <w:rPr>
          <w:rFonts w:hint="eastAsia"/>
        </w:rPr>
        <w:t>在</w:t>
      </w:r>
      <w:r>
        <w:t>22 ℃～24 ℃</w:t>
      </w:r>
      <w:r>
        <w:rPr>
          <w:rFonts w:hint="eastAsia"/>
        </w:rPr>
        <w:t>，待接种穴周围菌丝直径长至8 cm～10 cm时，脱掉外套袋，翻堆。培养60 d～70 d后，当瘤状物达到袋面的三分之一时，每袋周身均匀刺非对称孔72 个，孔深3 cm～4 cm，孔径8 mm，之后进入菌棒转色管理。</w:t>
      </w:r>
    </w:p>
    <w:p w14:paraId="4F54FC99">
      <w:pPr>
        <w:pStyle w:val="104"/>
        <w:spacing w:before="312" w:after="312"/>
      </w:pPr>
      <w:bookmarkStart w:id="71" w:name="_Toc163383849"/>
      <w:bookmarkStart w:id="72" w:name="_Toc16581"/>
      <w:r>
        <w:rPr>
          <w:rFonts w:hint="eastAsia"/>
        </w:rPr>
        <w:t>转色管理</w:t>
      </w:r>
      <w:bookmarkEnd w:id="71"/>
      <w:bookmarkEnd w:id="72"/>
    </w:p>
    <w:p w14:paraId="757E6EAA">
      <w:pPr>
        <w:pStyle w:val="56"/>
        <w:ind w:firstLine="420"/>
      </w:pPr>
      <w:r>
        <w:rPr>
          <w:rFonts w:hint="eastAsia"/>
        </w:rPr>
        <w:t>转色管理时间为50 d～60 d。菌棒每层2棒，“井”字型摆放，每垛8～10层，垛与垛间距6 cm～8 cm，3垛为一行，行与行间距60 cm～80 cm。菌棒中心温度控制在</w:t>
      </w:r>
      <w:r>
        <w:t>18 ℃～22 ℃</w:t>
      </w:r>
      <w:r>
        <w:rPr>
          <w:rFonts w:hint="eastAsia"/>
        </w:rPr>
        <w:t>，室内CO</w:t>
      </w:r>
      <w:r>
        <w:rPr>
          <w:rFonts w:hint="eastAsia"/>
          <w:vertAlign w:val="subscript"/>
        </w:rPr>
        <w:t>2</w:t>
      </w:r>
      <w:r>
        <w:rPr>
          <w:rFonts w:hint="eastAsia"/>
        </w:rPr>
        <w:t>浓度≤0.06%，空间相对湿度75%</w:t>
      </w:r>
      <w:r>
        <w:t>～85%</w:t>
      </w:r>
      <w:r>
        <w:rPr>
          <w:rFonts w:hint="eastAsia"/>
        </w:rPr>
        <w:t>，光照强度为400 lx～500 lx。</w:t>
      </w:r>
    </w:p>
    <w:p w14:paraId="7714789D">
      <w:pPr>
        <w:pStyle w:val="104"/>
        <w:spacing w:before="312" w:after="312"/>
      </w:pPr>
      <w:bookmarkStart w:id="73" w:name="_Toc9934"/>
      <w:bookmarkStart w:id="74" w:name="_Toc163383850"/>
      <w:bookmarkStart w:id="75" w:name="_Toc401569648"/>
      <w:r>
        <w:rPr>
          <w:rFonts w:hint="eastAsia"/>
        </w:rPr>
        <w:t>出菇管理</w:t>
      </w:r>
      <w:bookmarkEnd w:id="73"/>
      <w:bookmarkEnd w:id="74"/>
    </w:p>
    <w:bookmarkEnd w:id="75"/>
    <w:p w14:paraId="77DF4574">
      <w:pPr>
        <w:pStyle w:val="105"/>
        <w:spacing w:before="156" w:after="156"/>
      </w:pPr>
      <w:r>
        <w:rPr>
          <w:rFonts w:hint="eastAsia"/>
        </w:rPr>
        <w:t>催蕾</w:t>
      </w:r>
    </w:p>
    <w:p w14:paraId="432F4165">
      <w:pPr>
        <w:pStyle w:val="56"/>
        <w:ind w:firstLine="420"/>
      </w:pPr>
      <w:bookmarkStart w:id="76" w:name="_Toc401563993"/>
      <w:bookmarkStart w:id="77" w:name="_Toc401563935"/>
      <w:bookmarkStart w:id="78" w:name="_Toc401569650"/>
      <w:r>
        <w:rPr>
          <w:rFonts w:hint="eastAsia"/>
        </w:rPr>
        <w:t>转色结束后，将菌棒运至出菇棚，脱掉内袋，每袋注水0.3 kg～0.4 kg，摆放在预先消毒的出菇床架上，棒与棒间距5 cm～6 cm。之后，将空间相对湿度控制在80%～90%，并结合通风，进行1</w:t>
      </w:r>
      <w:r>
        <w:t>8 ℃～26 ℃</w:t>
      </w:r>
      <w:r>
        <w:rPr>
          <w:rFonts w:hint="eastAsia"/>
        </w:rPr>
        <w:t xml:space="preserve"> 维持6 h～8 h和</w:t>
      </w:r>
      <w:r>
        <w:t xml:space="preserve"> 8 ℃～18 ℃</w:t>
      </w:r>
      <w:r>
        <w:rPr>
          <w:rFonts w:hint="eastAsia"/>
        </w:rPr>
        <w:t>维持6～8 h的间隔变温处理，5 d～7 d后，直至菌棒表面出现黄豆大小的菇蕾。</w:t>
      </w:r>
    </w:p>
    <w:bookmarkEnd w:id="76"/>
    <w:bookmarkEnd w:id="77"/>
    <w:bookmarkEnd w:id="78"/>
    <w:p w14:paraId="6B60BB16">
      <w:pPr>
        <w:pStyle w:val="105"/>
        <w:spacing w:before="156" w:after="156"/>
      </w:pPr>
      <w:bookmarkStart w:id="79" w:name="_Toc401569652"/>
      <w:r>
        <w:rPr>
          <w:rFonts w:hint="eastAsia"/>
        </w:rPr>
        <w:t>疏蕾</w:t>
      </w:r>
    </w:p>
    <w:p w14:paraId="61F852E9">
      <w:pPr>
        <w:pStyle w:val="56"/>
        <w:ind w:firstLine="420"/>
      </w:pPr>
      <w:r>
        <w:rPr>
          <w:rFonts w:hint="eastAsia"/>
        </w:rPr>
        <w:t>催蕾完成后，将棚内温度降至</w:t>
      </w:r>
      <w:r>
        <w:t>8</w:t>
      </w:r>
      <w:r>
        <w:rPr>
          <w:rFonts w:hint="eastAsia"/>
        </w:rPr>
        <w:t xml:space="preserve"> </w:t>
      </w:r>
      <w:r>
        <w:t>℃～12</w:t>
      </w:r>
      <w:r>
        <w:rPr>
          <w:rFonts w:hint="eastAsia"/>
        </w:rPr>
        <w:t xml:space="preserve"> </w:t>
      </w:r>
      <w:r>
        <w:t>℃</w:t>
      </w:r>
      <w:r>
        <w:rPr>
          <w:rFonts w:hint="eastAsia"/>
        </w:rPr>
        <w:t>，适当通风和增加散射光，空间相对湿度维持在80%～85%。待大部分菇蕾的菌盖直径0.4 cm～0.6 cm时，及时疏蕾，每棒保留菇蕾在出菇面均匀分布，数目为8～15个。</w:t>
      </w:r>
    </w:p>
    <w:bookmarkEnd w:id="79"/>
    <w:p w14:paraId="39ED78B9">
      <w:pPr>
        <w:pStyle w:val="105"/>
        <w:spacing w:before="156" w:after="156"/>
      </w:pPr>
      <w:r>
        <w:rPr>
          <w:rFonts w:hint="eastAsia"/>
        </w:rPr>
        <w:t>育菇</w:t>
      </w:r>
    </w:p>
    <w:p w14:paraId="2E1123AE">
      <w:pPr>
        <w:pStyle w:val="56"/>
        <w:ind w:firstLine="420"/>
      </w:pPr>
      <w:r>
        <w:rPr>
          <w:rFonts w:hint="eastAsia"/>
        </w:rPr>
        <w:t>当大部分菇类菌盖达到2.0 cm～2.5 cm时，将棚内温度降低至10</w:t>
      </w:r>
      <w:r>
        <w:t> </w:t>
      </w:r>
      <w:r>
        <w:rPr>
          <w:rFonts w:hint="eastAsia"/>
        </w:rPr>
        <w:t>℃～14</w:t>
      </w:r>
      <w:r>
        <w:t> </w:t>
      </w:r>
      <w:r>
        <w:rPr>
          <w:rFonts w:hint="eastAsia"/>
        </w:rPr>
        <w:t>℃，</w:t>
      </w:r>
      <w:r>
        <w:t>光照强度</w:t>
      </w:r>
      <w:r>
        <w:rPr>
          <w:rFonts w:hint="eastAsia"/>
        </w:rPr>
        <w:t>增加至</w:t>
      </w:r>
      <w:r>
        <w:t>500 lx～800 lx</w:t>
      </w:r>
      <w:r>
        <w:rPr>
          <w:rFonts w:hint="eastAsia"/>
        </w:rPr>
        <w:t>，加大通风量，使空间相对湿度降低至60%～80%，10 d～15 d后即可采收。</w:t>
      </w:r>
    </w:p>
    <w:p w14:paraId="3A8C4C33">
      <w:pPr>
        <w:pStyle w:val="105"/>
        <w:spacing w:before="156" w:after="156"/>
      </w:pPr>
      <w:r>
        <w:rPr>
          <w:rFonts w:hint="eastAsia"/>
        </w:rPr>
        <w:t>转潮</w:t>
      </w:r>
    </w:p>
    <w:p w14:paraId="6D85C68A">
      <w:pPr>
        <w:pStyle w:val="56"/>
        <w:ind w:firstLine="420"/>
      </w:pPr>
      <w:r>
        <w:rPr>
          <w:rFonts w:hint="eastAsia"/>
        </w:rPr>
        <w:t>采收后及时清除死菇、病菇，停止喷水，通风2 d～3 d，对菌棒进行适量喷水，休养菌棒7 d～10 d</w:t>
      </w:r>
      <w:r>
        <w:rPr>
          <w:rFonts w:hint="eastAsia"/>
          <w:lang w:val="en-US" w:eastAsia="zh-CN"/>
        </w:rPr>
        <w:t>后</w:t>
      </w:r>
      <w:r>
        <w:rPr>
          <w:rFonts w:hint="eastAsia"/>
        </w:rPr>
        <w:t>进行</w:t>
      </w:r>
      <w:r>
        <w:rPr>
          <w:rFonts w:hint="eastAsia"/>
          <w:lang w:val="en-US" w:eastAsia="zh-CN"/>
        </w:rPr>
        <w:t>出菇</w:t>
      </w:r>
      <w:r>
        <w:rPr>
          <w:rFonts w:hint="eastAsia"/>
        </w:rPr>
        <w:t>管理。</w:t>
      </w:r>
    </w:p>
    <w:p w14:paraId="4AE1F5A0">
      <w:pPr>
        <w:pStyle w:val="104"/>
        <w:spacing w:before="312" w:after="312"/>
        <w:rPr>
          <w:rFonts w:hint="eastAsia"/>
        </w:rPr>
      </w:pPr>
      <w:bookmarkStart w:id="80" w:name="_Toc21651"/>
      <w:bookmarkStart w:id="81" w:name="_Toc437792218"/>
      <w:bookmarkStart w:id="82" w:name="_Toc438456115"/>
      <w:r>
        <w:rPr>
          <w:rFonts w:hint="eastAsia"/>
        </w:rPr>
        <w:t>采收</w:t>
      </w:r>
      <w:bookmarkEnd w:id="80"/>
      <w:bookmarkEnd w:id="81"/>
      <w:bookmarkEnd w:id="82"/>
    </w:p>
    <w:p w14:paraId="59B7BE30">
      <w:pPr>
        <w:pStyle w:val="56"/>
        <w:ind w:firstLine="420"/>
      </w:pPr>
      <w:r>
        <w:rPr>
          <w:rFonts w:hint="eastAsia"/>
        </w:rPr>
        <w:t>菇体发育至开伞度达到6～7分，菌膜未破裂时，及时采收。</w:t>
      </w:r>
    </w:p>
    <w:p w14:paraId="289A813A">
      <w:pPr>
        <w:pStyle w:val="104"/>
        <w:spacing w:before="312" w:after="312"/>
      </w:pPr>
      <w:bookmarkStart w:id="83" w:name="_Toc16531"/>
      <w:bookmarkStart w:id="84" w:name="_Toc162602274"/>
      <w:bookmarkStart w:id="85" w:name="_Toc163383851"/>
      <w:bookmarkStart w:id="86" w:name="_Toc160794621"/>
      <w:bookmarkStart w:id="87" w:name="_Toc159167239"/>
      <w:r>
        <w:rPr>
          <w:rFonts w:hint="eastAsia"/>
          <w:lang w:val="en-US" w:eastAsia="zh-CN"/>
        </w:rPr>
        <w:t>生产</w:t>
      </w:r>
      <w:r>
        <w:rPr>
          <w:rFonts w:hint="eastAsia"/>
        </w:rPr>
        <w:t>档案</w:t>
      </w:r>
      <w:bookmarkEnd w:id="24"/>
      <w:bookmarkEnd w:id="83"/>
      <w:bookmarkEnd w:id="84"/>
      <w:bookmarkEnd w:id="85"/>
      <w:bookmarkEnd w:id="86"/>
      <w:bookmarkEnd w:id="87"/>
    </w:p>
    <w:p w14:paraId="33585309">
      <w:pPr>
        <w:pStyle w:val="56"/>
        <w:ind w:firstLine="420"/>
        <w:rPr>
          <w:rFonts w:hint="eastAsia"/>
          <w:highlight w:val="yellow"/>
          <w:lang w:val="en-US" w:eastAsia="zh-CN"/>
        </w:rPr>
      </w:pPr>
      <w:r>
        <w:rPr>
          <w:rFonts w:hint="eastAsia"/>
        </w:rPr>
        <w:t>详细记录夏季香菇生产过程，完善记录档案，档案记录保留2年以上。</w:t>
      </w:r>
      <w:r>
        <w:rPr>
          <w:rFonts w:hint="eastAsia"/>
          <w:highlight w:val="none"/>
          <w:lang w:val="en-US" w:eastAsia="zh-CN"/>
        </w:rPr>
        <w:t>附录A</w:t>
      </w:r>
    </w:p>
    <w:p w14:paraId="52A94CCC">
      <w:pPr>
        <w:rPr>
          <w:rFonts w:hint="eastAsia"/>
          <w:highlight w:val="yellow"/>
          <w:lang w:val="en-US" w:eastAsia="zh-CN"/>
        </w:rPr>
      </w:pPr>
    </w:p>
    <w:p w14:paraId="1B436C01">
      <w:pPr>
        <w:rPr>
          <w:rFonts w:hint="eastAsia"/>
          <w:highlight w:val="yellow"/>
          <w:lang w:val="en-US" w:eastAsia="zh-CN"/>
        </w:rPr>
      </w:pPr>
    </w:p>
    <w:p w14:paraId="47E1BF39">
      <w:pPr>
        <w:rPr>
          <w:rFonts w:hint="eastAsia"/>
          <w:highlight w:val="yellow"/>
          <w:lang w:val="en-US" w:eastAsia="zh-CN"/>
        </w:rPr>
      </w:pPr>
    </w:p>
    <w:p w14:paraId="6B743C1D">
      <w:pPr>
        <w:pStyle w:val="76"/>
        <w:spacing w:after="156"/>
        <w:rPr>
          <w:rFonts w:hint="eastAsia"/>
        </w:rPr>
      </w:pPr>
      <w:bookmarkStart w:id="88" w:name="_Toc7641"/>
      <w:r>
        <w:br w:type="textWrapping"/>
      </w:r>
      <w:bookmarkStart w:id="89" w:name="_Toc162632342"/>
      <w:r>
        <w:rPr>
          <w:rFonts w:hint="eastAsia"/>
        </w:rPr>
        <w:t>（资料性）</w:t>
      </w:r>
      <w:r>
        <w:br w:type="textWrapping"/>
      </w:r>
      <w:r>
        <w:rPr>
          <w:rFonts w:hint="eastAsia"/>
          <w:lang w:val="en-US" w:eastAsia="zh-CN"/>
        </w:rPr>
        <w:t>香菇</w:t>
      </w:r>
      <w:bookmarkEnd w:id="89"/>
      <w:r>
        <w:rPr>
          <w:rFonts w:hint="eastAsia"/>
          <w:lang w:val="en-US" w:eastAsia="zh-CN"/>
        </w:rPr>
        <w:t>生产档案记录表</w:t>
      </w:r>
      <w:bookmarkEnd w:id="88"/>
    </w:p>
    <w:p w14:paraId="736AAFA8">
      <w:pPr>
        <w:pStyle w:val="56"/>
        <w:ind w:firstLine="420"/>
        <w:rPr>
          <w:rFonts w:hint="eastAsia"/>
        </w:rPr>
      </w:pPr>
      <w:r>
        <w:rPr>
          <w:rFonts w:hint="eastAsia"/>
        </w:rPr>
        <w:t>表A.1</w:t>
      </w:r>
      <w:r>
        <w:rPr>
          <w:rFonts w:hint="eastAsia"/>
          <w:lang w:val="en-US" w:eastAsia="zh-CN"/>
        </w:rPr>
        <w:t xml:space="preserve"> </w:t>
      </w:r>
      <w:r>
        <w:rPr>
          <w:rFonts w:hint="eastAsia"/>
        </w:rPr>
        <w:t>给出了香菇生产档案记录要求。</w:t>
      </w:r>
    </w:p>
    <w:p w14:paraId="6E1B5356">
      <w:pPr>
        <w:pStyle w:val="77"/>
        <w:spacing w:before="156" w:after="156"/>
      </w:pPr>
      <w:r>
        <w:rPr>
          <w:rFonts w:hint="eastAsia"/>
          <w:lang w:val="en-US" w:eastAsia="zh-CN"/>
        </w:rPr>
        <w:t>香菇生产档案记录表</w:t>
      </w:r>
    </w:p>
    <w:tbl>
      <w:tblPr>
        <w:tblStyle w:val="27"/>
        <w:tblW w:w="935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21"/>
        <w:gridCol w:w="903"/>
        <w:gridCol w:w="1002"/>
        <w:gridCol w:w="1002"/>
        <w:gridCol w:w="1002"/>
        <w:gridCol w:w="1002"/>
        <w:gridCol w:w="1002"/>
        <w:gridCol w:w="1002"/>
        <w:gridCol w:w="1002"/>
        <w:gridCol w:w="713"/>
      </w:tblGrid>
      <w:tr w14:paraId="55B53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25" w:hRule="atLeast"/>
          <w:tblHeader/>
          <w:jc w:val="center"/>
        </w:trPr>
        <w:tc>
          <w:tcPr>
            <w:tcW w:w="721" w:type="dxa"/>
            <w:tcBorders>
              <w:top w:val="single" w:color="auto" w:sz="8" w:space="0"/>
              <w:bottom w:val="single" w:color="auto" w:sz="8" w:space="0"/>
            </w:tcBorders>
            <w:shd w:val="clear" w:color="auto" w:fill="auto"/>
            <w:vAlign w:val="center"/>
          </w:tcPr>
          <w:p w14:paraId="56BB4FD4">
            <w:pPr>
              <w:pStyle w:val="178"/>
            </w:pPr>
            <w:r>
              <w:rPr>
                <w:rFonts w:hint="eastAsia"/>
                <w:lang w:val="en-US" w:eastAsia="zh-CN"/>
              </w:rPr>
              <w:t>品种</w:t>
            </w:r>
          </w:p>
        </w:tc>
        <w:tc>
          <w:tcPr>
            <w:tcW w:w="903" w:type="dxa"/>
            <w:tcBorders>
              <w:top w:val="single" w:color="auto" w:sz="8" w:space="0"/>
              <w:bottom w:val="single" w:color="auto" w:sz="8" w:space="0"/>
            </w:tcBorders>
            <w:shd w:val="clear" w:color="auto" w:fill="auto"/>
            <w:vAlign w:val="center"/>
          </w:tcPr>
          <w:p w14:paraId="5995A33E">
            <w:pPr>
              <w:pStyle w:val="178"/>
            </w:pPr>
            <w:r>
              <w:rPr>
                <w:rFonts w:hint="eastAsia"/>
              </w:rPr>
              <w:t>前茬</w:t>
            </w:r>
          </w:p>
        </w:tc>
        <w:tc>
          <w:tcPr>
            <w:tcW w:w="1002" w:type="dxa"/>
            <w:tcBorders>
              <w:top w:val="single" w:color="auto" w:sz="8" w:space="0"/>
              <w:bottom w:val="single" w:color="auto" w:sz="8" w:space="0"/>
            </w:tcBorders>
            <w:shd w:val="clear" w:color="auto" w:fill="auto"/>
            <w:vAlign w:val="center"/>
          </w:tcPr>
          <w:p w14:paraId="669FEB02">
            <w:pPr>
              <w:pStyle w:val="178"/>
              <w:rPr>
                <w:rFonts w:hint="eastAsia"/>
              </w:rPr>
            </w:pPr>
            <w:r>
              <w:rPr>
                <w:rFonts w:hint="eastAsia"/>
                <w:lang w:val="en-US" w:eastAsia="zh-CN"/>
              </w:rPr>
              <w:t>生产</w:t>
            </w:r>
            <w:r>
              <w:rPr>
                <w:rFonts w:hint="eastAsia"/>
              </w:rPr>
              <w:t>配方</w:t>
            </w:r>
          </w:p>
        </w:tc>
        <w:tc>
          <w:tcPr>
            <w:tcW w:w="1002" w:type="dxa"/>
            <w:tcBorders>
              <w:top w:val="single" w:color="auto" w:sz="8" w:space="0"/>
              <w:bottom w:val="single" w:color="auto" w:sz="8" w:space="0"/>
            </w:tcBorders>
            <w:shd w:val="clear" w:color="auto" w:fill="auto"/>
            <w:vAlign w:val="center"/>
          </w:tcPr>
          <w:p w14:paraId="32DC2FD3">
            <w:pPr>
              <w:pStyle w:val="178"/>
              <w:rPr>
                <w:rFonts w:hint="eastAsia" w:hAnsi="Times New Roman" w:cs="Times New Roman"/>
                <w:lang w:val="en-US" w:eastAsia="zh-CN"/>
              </w:rPr>
            </w:pPr>
            <w:r>
              <w:rPr>
                <w:rFonts w:hint="eastAsia" w:hAnsi="Times New Roman" w:cs="Times New Roman"/>
                <w:lang w:val="en-US" w:eastAsia="zh-CN"/>
              </w:rPr>
              <w:t>菌棒规格</w:t>
            </w:r>
          </w:p>
        </w:tc>
        <w:tc>
          <w:tcPr>
            <w:tcW w:w="1002" w:type="dxa"/>
            <w:tcBorders>
              <w:top w:val="single" w:color="auto" w:sz="8" w:space="0"/>
              <w:bottom w:val="single" w:color="auto" w:sz="8" w:space="0"/>
            </w:tcBorders>
            <w:shd w:val="clear" w:color="auto" w:fill="auto"/>
            <w:vAlign w:val="center"/>
          </w:tcPr>
          <w:p w14:paraId="3A6C3E8F">
            <w:pPr>
              <w:spacing w:line="360" w:lineRule="exact"/>
              <w:jc w:val="center"/>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接种日期</w:t>
            </w:r>
          </w:p>
          <w:p w14:paraId="06DCE545">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c>
          <w:tcPr>
            <w:tcW w:w="1002" w:type="dxa"/>
            <w:tcBorders>
              <w:top w:val="single" w:color="auto" w:sz="8" w:space="0"/>
              <w:bottom w:val="single" w:color="auto" w:sz="8" w:space="0"/>
            </w:tcBorders>
            <w:shd w:val="clear" w:color="auto" w:fill="auto"/>
            <w:vAlign w:val="center"/>
          </w:tcPr>
          <w:p w14:paraId="487CA14F">
            <w:pPr>
              <w:spacing w:line="360" w:lineRule="exact"/>
              <w:jc w:val="center"/>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发菌期</w:t>
            </w:r>
          </w:p>
          <w:p w14:paraId="67253F7A">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c>
          <w:tcPr>
            <w:tcW w:w="1002" w:type="dxa"/>
            <w:tcBorders>
              <w:top w:val="single" w:color="auto" w:sz="8" w:space="0"/>
              <w:bottom w:val="single" w:color="auto" w:sz="8" w:space="0"/>
            </w:tcBorders>
            <w:shd w:val="clear" w:color="auto" w:fill="auto"/>
            <w:vAlign w:val="center"/>
          </w:tcPr>
          <w:p w14:paraId="06946CEA">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转色期</w:t>
            </w:r>
          </w:p>
          <w:p w14:paraId="7D2CB9AD">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c>
          <w:tcPr>
            <w:tcW w:w="1002" w:type="dxa"/>
            <w:tcBorders>
              <w:top w:val="single" w:color="auto" w:sz="8" w:space="0"/>
              <w:bottom w:val="single" w:color="auto" w:sz="8" w:space="0"/>
            </w:tcBorders>
            <w:shd w:val="clear" w:color="auto" w:fill="auto"/>
            <w:vAlign w:val="center"/>
          </w:tcPr>
          <w:p w14:paraId="404C8FCA">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催蕾日期</w:t>
            </w:r>
          </w:p>
          <w:p w14:paraId="748ECA4A">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c>
          <w:tcPr>
            <w:tcW w:w="1002" w:type="dxa"/>
            <w:tcBorders>
              <w:top w:val="single" w:color="auto" w:sz="8" w:space="0"/>
              <w:bottom w:val="single" w:color="auto" w:sz="8" w:space="0"/>
            </w:tcBorders>
            <w:shd w:val="clear" w:color="auto" w:fill="auto"/>
            <w:vAlign w:val="center"/>
          </w:tcPr>
          <w:p w14:paraId="17807B67">
            <w:pPr>
              <w:spacing w:line="360" w:lineRule="exact"/>
              <w:jc w:val="center"/>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转潮管理</w:t>
            </w:r>
          </w:p>
          <w:p w14:paraId="65752FF3">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c>
          <w:tcPr>
            <w:tcW w:w="713" w:type="dxa"/>
            <w:tcBorders>
              <w:top w:val="single" w:color="auto" w:sz="8" w:space="0"/>
              <w:bottom w:val="single" w:color="auto" w:sz="8" w:space="0"/>
            </w:tcBorders>
            <w:shd w:val="clear" w:color="auto" w:fill="auto"/>
            <w:vAlign w:val="center"/>
          </w:tcPr>
          <w:p w14:paraId="598D56AB">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收获期</w:t>
            </w:r>
          </w:p>
          <w:p w14:paraId="0170C7E8">
            <w:pPr>
              <w:pStyle w:val="178"/>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月/日</w:t>
            </w:r>
          </w:p>
        </w:tc>
      </w:tr>
      <w:tr w14:paraId="784FAF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4" w:hRule="atLeast"/>
          <w:jc w:val="center"/>
        </w:trPr>
        <w:tc>
          <w:tcPr>
            <w:tcW w:w="721" w:type="dxa"/>
            <w:tcBorders>
              <w:top w:val="single" w:color="auto" w:sz="8" w:space="0"/>
            </w:tcBorders>
            <w:shd w:val="clear" w:color="auto" w:fill="auto"/>
            <w:vAlign w:val="center"/>
          </w:tcPr>
          <w:p w14:paraId="5E0F64C2">
            <w:pPr>
              <w:pStyle w:val="178"/>
            </w:pPr>
          </w:p>
        </w:tc>
        <w:tc>
          <w:tcPr>
            <w:tcW w:w="903" w:type="dxa"/>
            <w:tcBorders>
              <w:top w:val="single" w:color="auto" w:sz="8" w:space="0"/>
            </w:tcBorders>
            <w:shd w:val="clear" w:color="auto" w:fill="auto"/>
            <w:vAlign w:val="center"/>
          </w:tcPr>
          <w:p w14:paraId="46270500">
            <w:pPr>
              <w:pStyle w:val="178"/>
            </w:pPr>
          </w:p>
        </w:tc>
        <w:tc>
          <w:tcPr>
            <w:tcW w:w="1002" w:type="dxa"/>
            <w:tcBorders>
              <w:top w:val="single" w:color="auto" w:sz="8" w:space="0"/>
            </w:tcBorders>
            <w:shd w:val="clear" w:color="auto" w:fill="auto"/>
            <w:vAlign w:val="center"/>
          </w:tcPr>
          <w:p w14:paraId="0D261F3B">
            <w:pPr>
              <w:pStyle w:val="178"/>
            </w:pPr>
          </w:p>
        </w:tc>
        <w:tc>
          <w:tcPr>
            <w:tcW w:w="1002" w:type="dxa"/>
            <w:tcBorders>
              <w:top w:val="single" w:color="auto" w:sz="8" w:space="0"/>
            </w:tcBorders>
            <w:shd w:val="clear" w:color="auto" w:fill="auto"/>
            <w:vAlign w:val="center"/>
          </w:tcPr>
          <w:p w14:paraId="2C3DBD8F">
            <w:pPr>
              <w:pStyle w:val="178"/>
            </w:pPr>
          </w:p>
        </w:tc>
        <w:tc>
          <w:tcPr>
            <w:tcW w:w="1002" w:type="dxa"/>
            <w:tcBorders>
              <w:top w:val="single" w:color="auto" w:sz="8" w:space="0"/>
            </w:tcBorders>
            <w:shd w:val="clear" w:color="auto" w:fill="auto"/>
            <w:vAlign w:val="center"/>
          </w:tcPr>
          <w:p w14:paraId="232FC234">
            <w:pPr>
              <w:pStyle w:val="178"/>
            </w:pPr>
          </w:p>
        </w:tc>
        <w:tc>
          <w:tcPr>
            <w:tcW w:w="1002" w:type="dxa"/>
            <w:tcBorders>
              <w:top w:val="single" w:color="auto" w:sz="8" w:space="0"/>
            </w:tcBorders>
            <w:shd w:val="clear" w:color="auto" w:fill="auto"/>
            <w:vAlign w:val="center"/>
          </w:tcPr>
          <w:p w14:paraId="049CD332">
            <w:pPr>
              <w:pStyle w:val="178"/>
            </w:pPr>
          </w:p>
        </w:tc>
        <w:tc>
          <w:tcPr>
            <w:tcW w:w="1002" w:type="dxa"/>
            <w:tcBorders>
              <w:top w:val="single" w:color="auto" w:sz="8" w:space="0"/>
            </w:tcBorders>
            <w:shd w:val="clear" w:color="auto" w:fill="auto"/>
            <w:vAlign w:val="center"/>
          </w:tcPr>
          <w:p w14:paraId="4FE2AA38">
            <w:pPr>
              <w:pStyle w:val="178"/>
            </w:pPr>
          </w:p>
        </w:tc>
        <w:tc>
          <w:tcPr>
            <w:tcW w:w="1002" w:type="dxa"/>
            <w:tcBorders>
              <w:top w:val="single" w:color="auto" w:sz="8" w:space="0"/>
            </w:tcBorders>
            <w:shd w:val="clear" w:color="auto" w:fill="auto"/>
            <w:vAlign w:val="center"/>
          </w:tcPr>
          <w:p w14:paraId="2CDCA9AF">
            <w:pPr>
              <w:pStyle w:val="178"/>
            </w:pPr>
          </w:p>
        </w:tc>
        <w:tc>
          <w:tcPr>
            <w:tcW w:w="1002" w:type="dxa"/>
            <w:tcBorders>
              <w:top w:val="single" w:color="auto" w:sz="8" w:space="0"/>
            </w:tcBorders>
            <w:shd w:val="clear" w:color="auto" w:fill="auto"/>
            <w:vAlign w:val="center"/>
          </w:tcPr>
          <w:p w14:paraId="4E5CF9D4">
            <w:pPr>
              <w:pStyle w:val="178"/>
            </w:pPr>
          </w:p>
        </w:tc>
        <w:tc>
          <w:tcPr>
            <w:tcW w:w="713" w:type="dxa"/>
            <w:tcBorders>
              <w:top w:val="single" w:color="auto" w:sz="8" w:space="0"/>
            </w:tcBorders>
            <w:shd w:val="clear" w:color="auto" w:fill="auto"/>
            <w:vAlign w:val="center"/>
          </w:tcPr>
          <w:p w14:paraId="77359073">
            <w:pPr>
              <w:pStyle w:val="178"/>
            </w:pPr>
          </w:p>
        </w:tc>
      </w:tr>
    </w:tbl>
    <w:p w14:paraId="27ACD8AC">
      <w:pPr>
        <w:pStyle w:val="56"/>
        <w:ind w:firstLine="420"/>
        <w:rPr>
          <w:rFonts w:hint="eastAsia"/>
        </w:rPr>
      </w:pPr>
    </w:p>
    <w:p w14:paraId="4FAA97DF">
      <w:pPr>
        <w:pStyle w:val="56"/>
        <w:ind w:firstLine="420"/>
        <w:rPr>
          <w:rFonts w:hint="eastAsia"/>
        </w:rPr>
      </w:pPr>
      <w:r>
        <w:rPr>
          <w:rFonts w:hint="eastAsia"/>
        </w:rPr>
        <w:t>表</w:t>
      </w:r>
      <w:r>
        <w:rPr>
          <w:rFonts w:hint="eastAsia"/>
          <w:lang w:val="en-US" w:eastAsia="zh-CN"/>
        </w:rPr>
        <w:t>A</w:t>
      </w:r>
      <w:r>
        <w:rPr>
          <w:rFonts w:hint="eastAsia"/>
        </w:rPr>
        <w:t>.</w:t>
      </w:r>
      <w:r>
        <w:rPr>
          <w:rFonts w:hint="eastAsia"/>
          <w:lang w:val="en-US" w:eastAsia="zh-CN"/>
        </w:rPr>
        <w:t>2</w:t>
      </w:r>
      <w:r>
        <w:rPr>
          <w:rFonts w:hint="eastAsia"/>
        </w:rPr>
        <w:t>给出了金针菇工厂化生产病虫害防控措施。</w:t>
      </w:r>
    </w:p>
    <w:p w14:paraId="06114948">
      <w:pPr>
        <w:pStyle w:val="77"/>
        <w:spacing w:before="156" w:after="156"/>
        <w:rPr>
          <w:rFonts w:hint="eastAsia"/>
        </w:rPr>
      </w:pPr>
      <w:r>
        <w:rPr>
          <w:rFonts w:hint="eastAsia"/>
          <w:lang w:val="en-US" w:eastAsia="zh-CN"/>
        </w:rPr>
        <w:t>香菇</w:t>
      </w:r>
      <w:r>
        <w:rPr>
          <w:rFonts w:hint="eastAsia"/>
        </w:rPr>
        <w:t>生产病虫害防控</w:t>
      </w:r>
      <w:r>
        <w:rPr>
          <w:rFonts w:hint="eastAsia"/>
          <w:lang w:val="en-US" w:eastAsia="zh-CN"/>
        </w:rPr>
        <w:t>记录</w:t>
      </w:r>
      <w:r>
        <w:rPr>
          <w:rFonts w:hint="eastAsia"/>
        </w:rPr>
        <w:t>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20"/>
        <w:gridCol w:w="2693"/>
        <w:gridCol w:w="4261"/>
      </w:tblGrid>
      <w:tr w14:paraId="39EC58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1" w:hRule="atLeast"/>
          <w:tblHeader/>
          <w:jc w:val="center"/>
        </w:trPr>
        <w:tc>
          <w:tcPr>
            <w:tcW w:w="2420" w:type="dxa"/>
            <w:tcBorders>
              <w:top w:val="single" w:color="auto" w:sz="8" w:space="0"/>
              <w:bottom w:val="single" w:color="auto" w:sz="8" w:space="0"/>
            </w:tcBorders>
            <w:shd w:val="clear" w:color="auto" w:fill="auto"/>
            <w:vAlign w:val="center"/>
          </w:tcPr>
          <w:p w14:paraId="7AE92C1E">
            <w:pPr>
              <w:pStyle w:val="178"/>
            </w:pPr>
            <w:r>
              <w:rPr>
                <w:rFonts w:hint="eastAsia"/>
              </w:rPr>
              <w:t>防控场所</w:t>
            </w:r>
          </w:p>
        </w:tc>
        <w:tc>
          <w:tcPr>
            <w:tcW w:w="2693" w:type="dxa"/>
            <w:tcBorders>
              <w:top w:val="single" w:color="auto" w:sz="8" w:space="0"/>
              <w:bottom w:val="single" w:color="auto" w:sz="8" w:space="0"/>
            </w:tcBorders>
            <w:shd w:val="clear" w:color="auto" w:fill="auto"/>
            <w:vAlign w:val="center"/>
          </w:tcPr>
          <w:p w14:paraId="5D9CEE7A">
            <w:pPr>
              <w:pStyle w:val="178"/>
            </w:pPr>
            <w:r>
              <w:rPr>
                <w:rFonts w:hint="eastAsia"/>
              </w:rPr>
              <w:t>主要病虫害</w:t>
            </w:r>
          </w:p>
        </w:tc>
        <w:tc>
          <w:tcPr>
            <w:tcW w:w="4261" w:type="dxa"/>
            <w:tcBorders>
              <w:top w:val="single" w:color="auto" w:sz="8" w:space="0"/>
              <w:bottom w:val="single" w:color="auto" w:sz="8" w:space="0"/>
            </w:tcBorders>
            <w:shd w:val="clear" w:color="auto" w:fill="auto"/>
            <w:vAlign w:val="center"/>
          </w:tcPr>
          <w:p w14:paraId="18D29E4C">
            <w:pPr>
              <w:pStyle w:val="178"/>
            </w:pPr>
            <w:r>
              <w:rPr>
                <w:rFonts w:hint="eastAsia"/>
              </w:rPr>
              <w:t>防控措施</w:t>
            </w:r>
          </w:p>
        </w:tc>
      </w:tr>
      <w:tr w14:paraId="777D8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420" w:type="dxa"/>
            <w:tcBorders>
              <w:top w:val="single" w:color="auto" w:sz="8" w:space="0"/>
            </w:tcBorders>
            <w:shd w:val="clear" w:color="auto" w:fill="auto"/>
            <w:vAlign w:val="center"/>
          </w:tcPr>
          <w:p w14:paraId="010427D1">
            <w:pPr>
              <w:pStyle w:val="178"/>
            </w:pPr>
            <w:r>
              <w:rPr>
                <w:rFonts w:hint="eastAsia"/>
              </w:rPr>
              <w:t>原料库</w:t>
            </w:r>
          </w:p>
        </w:tc>
        <w:tc>
          <w:tcPr>
            <w:tcW w:w="2693" w:type="dxa"/>
            <w:tcBorders>
              <w:top w:val="single" w:color="auto" w:sz="8" w:space="0"/>
            </w:tcBorders>
            <w:shd w:val="clear" w:color="auto" w:fill="auto"/>
            <w:vAlign w:val="center"/>
          </w:tcPr>
          <w:p w14:paraId="0BE3B21C">
            <w:pPr>
              <w:pStyle w:val="178"/>
            </w:pPr>
          </w:p>
        </w:tc>
        <w:tc>
          <w:tcPr>
            <w:tcW w:w="4261" w:type="dxa"/>
            <w:tcBorders>
              <w:top w:val="single" w:color="auto" w:sz="8" w:space="0"/>
            </w:tcBorders>
            <w:shd w:val="clear" w:color="auto" w:fill="auto"/>
            <w:vAlign w:val="center"/>
          </w:tcPr>
          <w:p w14:paraId="2E6B2025">
            <w:pPr>
              <w:pStyle w:val="178"/>
            </w:pPr>
          </w:p>
        </w:tc>
      </w:tr>
      <w:tr w14:paraId="0BD3C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2420" w:type="dxa"/>
            <w:shd w:val="clear" w:color="auto" w:fill="auto"/>
            <w:vAlign w:val="center"/>
          </w:tcPr>
          <w:p w14:paraId="19ED29D0">
            <w:pPr>
              <w:pStyle w:val="178"/>
            </w:pPr>
            <w:r>
              <w:rPr>
                <w:rFonts w:hint="eastAsia"/>
              </w:rPr>
              <w:t>制袋车间</w:t>
            </w:r>
          </w:p>
        </w:tc>
        <w:tc>
          <w:tcPr>
            <w:tcW w:w="2693" w:type="dxa"/>
            <w:shd w:val="clear" w:color="auto" w:fill="auto"/>
            <w:vAlign w:val="center"/>
          </w:tcPr>
          <w:p w14:paraId="2ED63E83">
            <w:pPr>
              <w:pStyle w:val="178"/>
            </w:pPr>
          </w:p>
        </w:tc>
        <w:tc>
          <w:tcPr>
            <w:tcW w:w="4261" w:type="dxa"/>
            <w:shd w:val="clear" w:color="auto" w:fill="auto"/>
            <w:vAlign w:val="center"/>
          </w:tcPr>
          <w:p w14:paraId="584A1348">
            <w:pPr>
              <w:pStyle w:val="178"/>
            </w:pPr>
          </w:p>
        </w:tc>
      </w:tr>
      <w:tr w14:paraId="37F91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2420" w:type="dxa"/>
            <w:shd w:val="clear" w:color="auto" w:fill="auto"/>
            <w:vAlign w:val="center"/>
          </w:tcPr>
          <w:p w14:paraId="01A14899">
            <w:pPr>
              <w:pStyle w:val="178"/>
            </w:pPr>
            <w:r>
              <w:rPr>
                <w:rFonts w:hint="eastAsia"/>
              </w:rPr>
              <w:t>接种室</w:t>
            </w:r>
          </w:p>
        </w:tc>
        <w:tc>
          <w:tcPr>
            <w:tcW w:w="2693" w:type="dxa"/>
            <w:shd w:val="clear" w:color="auto" w:fill="auto"/>
            <w:vAlign w:val="center"/>
          </w:tcPr>
          <w:p w14:paraId="668D4C2E">
            <w:pPr>
              <w:pStyle w:val="178"/>
            </w:pPr>
          </w:p>
        </w:tc>
        <w:tc>
          <w:tcPr>
            <w:tcW w:w="4261" w:type="dxa"/>
            <w:shd w:val="clear" w:color="auto" w:fill="auto"/>
            <w:vAlign w:val="center"/>
          </w:tcPr>
          <w:p w14:paraId="18BF3992">
            <w:pPr>
              <w:pStyle w:val="178"/>
            </w:pPr>
          </w:p>
        </w:tc>
      </w:tr>
      <w:tr w14:paraId="2A3254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5" w:hRule="atLeast"/>
          <w:jc w:val="center"/>
        </w:trPr>
        <w:tc>
          <w:tcPr>
            <w:tcW w:w="2420" w:type="dxa"/>
            <w:shd w:val="clear" w:color="auto" w:fill="auto"/>
            <w:vAlign w:val="center"/>
          </w:tcPr>
          <w:p w14:paraId="57F47181">
            <w:pPr>
              <w:pStyle w:val="178"/>
              <w:rPr>
                <w:rFonts w:hint="eastAsia" w:eastAsia="宋体"/>
                <w:lang w:eastAsia="zh-CN"/>
              </w:rPr>
            </w:pPr>
            <w:r>
              <w:rPr>
                <w:rFonts w:hint="eastAsia"/>
              </w:rPr>
              <w:t>发菌区域</w:t>
            </w:r>
          </w:p>
        </w:tc>
        <w:tc>
          <w:tcPr>
            <w:tcW w:w="2693" w:type="dxa"/>
            <w:shd w:val="clear" w:color="auto" w:fill="auto"/>
            <w:vAlign w:val="center"/>
          </w:tcPr>
          <w:p w14:paraId="47019F1A">
            <w:pPr>
              <w:pStyle w:val="178"/>
            </w:pPr>
          </w:p>
        </w:tc>
        <w:tc>
          <w:tcPr>
            <w:tcW w:w="4261" w:type="dxa"/>
            <w:shd w:val="clear" w:color="auto" w:fill="auto"/>
            <w:vAlign w:val="center"/>
          </w:tcPr>
          <w:p w14:paraId="2B16DBDC">
            <w:pPr>
              <w:pStyle w:val="178"/>
            </w:pPr>
          </w:p>
        </w:tc>
      </w:tr>
      <w:tr w14:paraId="29C3AA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1" w:hRule="atLeast"/>
          <w:jc w:val="center"/>
        </w:trPr>
        <w:tc>
          <w:tcPr>
            <w:tcW w:w="2420" w:type="dxa"/>
            <w:shd w:val="clear" w:color="auto" w:fill="auto"/>
            <w:vAlign w:val="center"/>
          </w:tcPr>
          <w:p w14:paraId="75272DE3">
            <w:pPr>
              <w:pStyle w:val="178"/>
              <w:rPr>
                <w:rFonts w:hint="eastAsia" w:eastAsia="宋体"/>
                <w:lang w:eastAsia="zh-CN"/>
              </w:rPr>
            </w:pPr>
            <w:r>
              <w:rPr>
                <w:rFonts w:hint="eastAsia"/>
              </w:rPr>
              <w:t>出菇区域</w:t>
            </w:r>
          </w:p>
        </w:tc>
        <w:tc>
          <w:tcPr>
            <w:tcW w:w="2693" w:type="dxa"/>
            <w:shd w:val="clear" w:color="auto" w:fill="auto"/>
            <w:vAlign w:val="center"/>
          </w:tcPr>
          <w:p w14:paraId="208C9911">
            <w:pPr>
              <w:pStyle w:val="178"/>
            </w:pPr>
          </w:p>
        </w:tc>
        <w:tc>
          <w:tcPr>
            <w:tcW w:w="4261" w:type="dxa"/>
            <w:shd w:val="clear" w:color="auto" w:fill="auto"/>
            <w:vAlign w:val="center"/>
          </w:tcPr>
          <w:p w14:paraId="1F824C79">
            <w:pPr>
              <w:pStyle w:val="178"/>
            </w:pPr>
          </w:p>
        </w:tc>
      </w:tr>
      <w:tr w14:paraId="2D54B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2" w:hRule="atLeast"/>
          <w:jc w:val="center"/>
        </w:trPr>
        <w:tc>
          <w:tcPr>
            <w:tcW w:w="2420" w:type="dxa"/>
            <w:shd w:val="clear" w:color="auto" w:fill="auto"/>
            <w:vAlign w:val="center"/>
          </w:tcPr>
          <w:p w14:paraId="6CC581E0">
            <w:pPr>
              <w:pStyle w:val="178"/>
            </w:pPr>
            <w:r>
              <w:rPr>
                <w:rFonts w:hint="eastAsia"/>
              </w:rPr>
              <w:t>其它区域</w:t>
            </w:r>
          </w:p>
        </w:tc>
        <w:tc>
          <w:tcPr>
            <w:tcW w:w="2693" w:type="dxa"/>
            <w:shd w:val="clear" w:color="auto" w:fill="auto"/>
            <w:vAlign w:val="center"/>
          </w:tcPr>
          <w:p w14:paraId="5388C317">
            <w:pPr>
              <w:pStyle w:val="178"/>
            </w:pPr>
          </w:p>
        </w:tc>
        <w:tc>
          <w:tcPr>
            <w:tcW w:w="4261" w:type="dxa"/>
            <w:shd w:val="clear" w:color="auto" w:fill="auto"/>
            <w:vAlign w:val="center"/>
          </w:tcPr>
          <w:p w14:paraId="1DF8C528">
            <w:pPr>
              <w:pStyle w:val="178"/>
            </w:pPr>
          </w:p>
        </w:tc>
      </w:tr>
    </w:tbl>
    <w:p w14:paraId="7917356A">
      <w:pPr>
        <w:rPr>
          <w:rFonts w:hint="default"/>
          <w:highlight w:val="yellow"/>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EDD3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EDD5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B6BE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DBEB">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B84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A3EB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A8FF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357B">
    <w:pPr>
      <w:pStyle w:val="61"/>
    </w:pPr>
    <w:r>
      <w:fldChar w:fldCharType="begin"/>
    </w:r>
    <w:r>
      <w:instrText xml:space="preserve"> STYLEREF  标准文件_文件编号  \* MERGEFORMAT </w:instrText>
    </w:r>
    <w:r>
      <w:fldChar w:fldCharType="separate"/>
    </w:r>
    <w:r>
      <w:t>DB 14/T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70E6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ZDg1OWJhODZlZTk1ZWMxNjYxZGE5MDNmYjg5NGUifQ=="/>
  </w:docVars>
  <w:rsids>
    <w:rsidRoot w:val="00B8564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D23"/>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F3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DBD"/>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12"/>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4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64D"/>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299"/>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4C8"/>
    <w:rsid w:val="00CC39FF"/>
    <w:rsid w:val="00CC3C2F"/>
    <w:rsid w:val="00CC4AC8"/>
    <w:rsid w:val="00CC5233"/>
    <w:rsid w:val="00CC5DE6"/>
    <w:rsid w:val="00CC677B"/>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766"/>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50B"/>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32C"/>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33F"/>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2D5"/>
    <w:rsid w:val="00F81141"/>
    <w:rsid w:val="00F83093"/>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3420CEC"/>
    <w:rsid w:val="16C83F29"/>
    <w:rsid w:val="25A8619C"/>
    <w:rsid w:val="2623786E"/>
    <w:rsid w:val="41E9014B"/>
    <w:rsid w:val="544C1261"/>
    <w:rsid w:val="58447FC9"/>
    <w:rsid w:val="693B64E9"/>
    <w:rsid w:val="6F5A7793"/>
    <w:rsid w:val="723F4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章标题"/>
    <w:next w:val="230"/>
    <w:qFormat/>
    <w:uiPriority w:val="0"/>
    <w:pPr>
      <w:tabs>
        <w:tab w:val="left" w:pos="1646"/>
      </w:tabs>
      <w:spacing w:before="312" w:beforeLines="100" w:after="312" w:afterLines="100"/>
      <w:ind w:left="1646" w:hanging="648"/>
      <w:jc w:val="both"/>
      <w:outlineLvl w:val="1"/>
    </w:pPr>
    <w:rPr>
      <w:rFonts w:ascii="黑体" w:hAnsi="Times New Roman" w:eastAsia="黑体" w:cs="Times New Roman"/>
      <w:sz w:val="21"/>
      <w:lang w:val="en-US" w:eastAsia="zh-CN" w:bidi="ar-SA"/>
    </w:rPr>
  </w:style>
  <w:style w:type="paragraph" w:customStyle="1" w:styleId="233">
    <w:name w:val="三级无"/>
    <w:basedOn w:val="1"/>
    <w:qFormat/>
    <w:uiPriority w:val="0"/>
    <w:pPr>
      <w:widowControl/>
      <w:tabs>
        <w:tab w:val="left" w:pos="2678"/>
      </w:tabs>
      <w:adjustRightInd/>
      <w:spacing w:line="240" w:lineRule="auto"/>
      <w:ind w:left="2678" w:hanging="420"/>
      <w:jc w:val="left"/>
      <w:outlineLvl w:val="4"/>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402F6CCC7944607B91BE3BB36C0818F"/>
        <w:style w:val=""/>
        <w:category>
          <w:name w:val="常规"/>
          <w:gallery w:val="placeholder"/>
        </w:category>
        <w:types>
          <w:type w:val="bbPlcHdr"/>
        </w:types>
        <w:behaviors>
          <w:behavior w:val="content"/>
        </w:behaviors>
        <w:description w:val=""/>
        <w:guid w:val="{E150412C-779E-44EB-9729-02B8B8088CDF}"/>
      </w:docPartPr>
      <w:docPartBody>
        <w:p w14:paraId="4732F3F7">
          <w:pPr>
            <w:pStyle w:val="5"/>
          </w:pPr>
          <w:r>
            <w:rPr>
              <w:rStyle w:val="4"/>
              <w:rFonts w:hint="eastAsia"/>
            </w:rPr>
            <w:t>单击或点击此处输入文字。</w:t>
          </w:r>
        </w:p>
      </w:docPartBody>
    </w:docPart>
    <w:docPart>
      <w:docPartPr>
        <w:name w:val="77A04860C9D443E581376A1A4468C446"/>
        <w:style w:val=""/>
        <w:category>
          <w:name w:val="常规"/>
          <w:gallery w:val="placeholder"/>
        </w:category>
        <w:types>
          <w:type w:val="bbPlcHdr"/>
        </w:types>
        <w:behaviors>
          <w:behavior w:val="content"/>
        </w:behaviors>
        <w:description w:val=""/>
        <w:guid w:val="{AD8C0858-9BB1-407B-926E-FEC36E22B956}"/>
      </w:docPartPr>
      <w:docPartBody>
        <w:p w14:paraId="207B6780">
          <w:pPr>
            <w:pStyle w:val="6"/>
          </w:pPr>
          <w:r>
            <w:rPr>
              <w:rStyle w:val="4"/>
              <w:rFonts w:hint="eastAsia"/>
            </w:rPr>
            <w:t>选择一项。</w:t>
          </w:r>
        </w:p>
      </w:docPartBody>
    </w:docPart>
    <w:docPart>
      <w:docPartPr>
        <w:name w:val="08FD7F81A1204074A1F72A397D9545CB"/>
        <w:style w:val=""/>
        <w:category>
          <w:name w:val="常规"/>
          <w:gallery w:val="placeholder"/>
        </w:category>
        <w:types>
          <w:type w:val="bbPlcHdr"/>
        </w:types>
        <w:behaviors>
          <w:behavior w:val="content"/>
        </w:behaviors>
        <w:description w:val=""/>
        <w:guid w:val="{DF26279E-3237-49B5-AD0B-2B79BCEFDAA8}"/>
      </w:docPartPr>
      <w:docPartBody>
        <w:p w14:paraId="7956024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9C5"/>
    <w:rsid w:val="00121190"/>
    <w:rsid w:val="00817B12"/>
    <w:rsid w:val="00872EDA"/>
    <w:rsid w:val="00E94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402F6CCC7944607B91BE3BB36C0818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7A04860C9D443E581376A1A4468C4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8FD7F81A1204074A1F72A397D9545C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FEC2EA-4565-47E7-98A8-EDFEC985942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2254</Words>
  <Characters>2571</Characters>
  <Lines>26</Lines>
  <Paragraphs>7</Paragraphs>
  <TotalTime>0</TotalTime>
  <ScaleCrop>false</ScaleCrop>
  <LinksUpToDate>false</LinksUpToDate>
  <CharactersWithSpaces>2733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2024-04-07T02:25:00Z</dcterms:created>
  <dc:creator>jasper</dc:creator>
  <dc:description>&lt;config cover="true" show_menu="true" version="1.0.0" doctype="SDKXY"&gt;_x000d_
&lt;/config&gt;</dc:description>
  <cp:lastModifiedBy>刘靖宇</cp:lastModifiedBy>
  <cp:lastPrinted>2020-08-30T10:00:00Z</cp:lastPrinted>
  <dcterms:modified xsi:type="dcterms:W3CDTF">2024-10-28T10:31:22Z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73E21BBACC944CBF8361F4B341773DF5_12</vt:lpwstr>
  </property>
</Properties>
</file>